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9F6D" w14:textId="77777777" w:rsidR="00A96387" w:rsidRPr="00242B95" w:rsidRDefault="00A96387" w:rsidP="00242B95">
      <w:pPr>
        <w:pStyle w:val="Covertitle"/>
      </w:pPr>
    </w:p>
    <w:p w14:paraId="0572F55D" w14:textId="7A6777E1" w:rsidR="00970400" w:rsidRPr="00A96387" w:rsidRDefault="00C468FC" w:rsidP="00B91F9A">
      <w:pPr>
        <w:pStyle w:val="Reporttitle"/>
      </w:pPr>
      <w:r>
        <w:t>The Fleming Fund Annual Review</w:t>
      </w:r>
    </w:p>
    <w:p w14:paraId="263B9F51" w14:textId="247A22A5" w:rsidR="008D431D" w:rsidRPr="00A96387" w:rsidRDefault="00936529" w:rsidP="00726C35">
      <w:pPr>
        <w:pStyle w:val="Reportsubtitle"/>
      </w:pPr>
      <w:r w:rsidRPr="00242B95">
        <w:rPr>
          <w:noProof/>
        </w:rPr>
        <mc:AlternateContent>
          <mc:Choice Requires="wps">
            <w:drawing>
              <wp:anchor distT="45720" distB="45720" distL="114300" distR="114300" simplePos="0" relativeHeight="251658240" behindDoc="0" locked="0" layoutInCell="1" allowOverlap="1" wp14:anchorId="25AF6CD0" wp14:editId="55EE29F3">
                <wp:simplePos x="0" y="0"/>
                <wp:positionH relativeFrom="margin">
                  <wp:posOffset>-120015</wp:posOffset>
                </wp:positionH>
                <wp:positionV relativeFrom="page">
                  <wp:posOffset>4324350</wp:posOffset>
                </wp:positionV>
                <wp:extent cx="2476500" cy="285750"/>
                <wp:effectExtent l="0" t="0" r="0" b="0"/>
                <wp:wrapSquare wrapText="bothSides"/>
                <wp:docPr id="217" name="Text Box 2" descr="Publishing date" title="Publishing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5750"/>
                        </a:xfrm>
                        <a:prstGeom prst="rect">
                          <a:avLst/>
                        </a:prstGeom>
                        <a:noFill/>
                        <a:ln w="9525">
                          <a:noFill/>
                          <a:miter lim="800000"/>
                          <a:headEnd/>
                          <a:tailEnd/>
                        </a:ln>
                      </wps:spPr>
                      <wps:txbx>
                        <w:txbxContent>
                          <w:p w14:paraId="316A8043" w14:textId="6488C059" w:rsidR="004519E0" w:rsidRDefault="004519E0">
                            <w:r w:rsidRPr="00FD66CD">
                              <w:t xml:space="preserve">Published </w:t>
                            </w:r>
                            <w:r w:rsidR="008478FB">
                              <w:t>11</w:t>
                            </w:r>
                            <w:r w:rsidR="00FD66CD">
                              <w:t xml:space="preserve"> July 2022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5AF6CD0" id="_x0000_t202" coordsize="21600,21600" o:spt="202" path="m,l,21600r21600,l21600,xe">
                <v:stroke joinstyle="miter"/>
                <v:path gradientshapeok="t" o:connecttype="rect"/>
              </v:shapetype>
              <v:shape id="Text Box 2" o:spid="_x0000_s1026" type="#_x0000_t202" alt="Title: Publishing date - Description: Publishing date" style="position:absolute;margin-left:-9.45pt;margin-top:340.5pt;width:195pt;height:22.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" filled="f" stroked="f">
                <v:textbox>
                  <w:txbxContent>
                    <w:p w14:paraId="316A8043" w14:textId="6488C059" w:rsidR="004519E0" w:rsidRDefault="004519E0">
                      <w:r w:rsidRPr="00FD66CD">
                        <w:t xml:space="preserve">Published </w:t>
                      </w:r>
                      <w:r w:rsidR="008478FB">
                        <w:t>11</w:t>
                      </w:r>
                      <w:r w:rsidR="00FD66CD">
                        <w:t xml:space="preserve"> July 2022</w:t>
                      </w:r>
                    </w:p>
                  </w:txbxContent>
                </v:textbox>
                <w10:wrap type="square" anchorx="margin" anchory="page"/>
              </v:shape>
            </w:pict>
          </mc:Fallback>
        </mc:AlternateContent>
      </w:r>
      <w:r w:rsidR="00C468FC">
        <w:t>January to December 2021</w:t>
      </w:r>
    </w:p>
    <w:p w14:paraId="585BB88C" w14:textId="77777777" w:rsidR="00FF0170" w:rsidRDefault="00FF0170" w:rsidP="00731C07">
      <w:pPr>
        <w:pStyle w:val="ParagraphText-unnumbered"/>
      </w:pPr>
    </w:p>
    <w:p w14:paraId="51C3AFB2" w14:textId="77777777" w:rsidR="00771AD1" w:rsidRDefault="00771AD1" w:rsidP="00731C07">
      <w:pPr>
        <w:pStyle w:val="ParagraphText-unnumbered"/>
      </w:pPr>
    </w:p>
    <w:p w14:paraId="5B381B86" w14:textId="77777777" w:rsidR="00771AD1" w:rsidRDefault="00771AD1" w:rsidP="00FF0170">
      <w:pPr>
        <w:pStyle w:val="Heading-contents"/>
        <w:sectPr w:rsidR="00771AD1" w:rsidSect="00771AD1">
          <w:headerReference w:type="even" r:id="rId11"/>
          <w:headerReference w:type="default" r:id="rId12"/>
          <w:footerReference w:type="even" r:id="rId13"/>
          <w:footerReference w:type="default" r:id="rId14"/>
          <w:headerReference w:type="first" r:id="rId15"/>
          <w:pgSz w:w="11906" w:h="16838" w:code="9"/>
          <w:pgMar w:top="1644" w:right="1134" w:bottom="1134" w:left="1134" w:header="567" w:footer="567" w:gutter="0"/>
          <w:pgNumType w:start="1"/>
          <w:cols w:space="720"/>
          <w:titlePg/>
        </w:sectPr>
      </w:pPr>
    </w:p>
    <w:p w14:paraId="1284D80C" w14:textId="77777777" w:rsidR="00AB15F8" w:rsidRDefault="00AB15F8" w:rsidP="00AB15F8"/>
    <w:p w14:paraId="3619D4B9" w14:textId="3DA964BD" w:rsidR="001C1FA8" w:rsidRDefault="001C1FA8">
      <w:pPr>
        <w:rPr>
          <w:b/>
          <w:sz w:val="48"/>
        </w:rPr>
      </w:pPr>
      <w:r>
        <w:br w:type="page"/>
      </w:r>
    </w:p>
    <w:p w14:paraId="268A6CB8" w14:textId="77777777" w:rsidR="00771AD1" w:rsidRDefault="00771AD1" w:rsidP="00FC75BF">
      <w:pPr>
        <w:pStyle w:val="Heading-contents"/>
        <w:sectPr w:rsidR="00771AD1" w:rsidSect="00771AD1">
          <w:headerReference w:type="even" r:id="rId16"/>
          <w:type w:val="continuous"/>
          <w:pgSz w:w="11906" w:h="16838" w:code="9"/>
          <w:pgMar w:top="1644" w:right="1134" w:bottom="1134" w:left="1134" w:header="567" w:footer="567" w:gutter="0"/>
          <w:pgNumType w:start="1"/>
          <w:cols w:space="720"/>
        </w:sectPr>
      </w:pPr>
    </w:p>
    <w:p w14:paraId="782B6325" w14:textId="1137602C" w:rsidR="008F3D85" w:rsidRDefault="008F3D85" w:rsidP="00870C7B">
      <w:pPr>
        <w:pStyle w:val="Heading2"/>
      </w:pPr>
      <w:r>
        <w:lastRenderedPageBreak/>
        <w:t>A</w:t>
      </w:r>
      <w:r w:rsidR="008A3259">
        <w:t>bbreviations list</w:t>
      </w:r>
    </w:p>
    <w:tbl>
      <w:tblPr>
        <w:tblStyle w:val="DHSCtable"/>
        <w:tblW w:w="0" w:type="auto"/>
        <w:tblLook w:val="04A0" w:firstRow="1" w:lastRow="0" w:firstColumn="1" w:lastColumn="0" w:noHBand="0" w:noVBand="1"/>
      </w:tblPr>
      <w:tblGrid>
        <w:gridCol w:w="3369"/>
        <w:gridCol w:w="6147"/>
      </w:tblGrid>
      <w:tr w:rsidR="007735E2" w:rsidRPr="003A432C" w14:paraId="1A67B475" w14:textId="77777777" w:rsidTr="0070627B">
        <w:trPr>
          <w:cnfStyle w:val="100000000000" w:firstRow="1" w:lastRow="0" w:firstColumn="0" w:lastColumn="0" w:oddVBand="0" w:evenVBand="0" w:oddHBand="0" w:evenHBand="0" w:firstRowFirstColumn="0" w:firstRowLastColumn="0" w:lastRowFirstColumn="0" w:lastRowLastColumn="0"/>
        </w:trPr>
        <w:tc>
          <w:tcPr>
            <w:tcW w:w="3369" w:type="dxa"/>
          </w:tcPr>
          <w:p w14:paraId="20D7CE58" w14:textId="77777777" w:rsidR="007735E2" w:rsidRPr="00D23019" w:rsidRDefault="007735E2" w:rsidP="002E30E7">
            <w:pPr>
              <w:pStyle w:val="Table-bodytext"/>
              <w:rPr>
                <w:rFonts w:ascii="Arial" w:hAnsi="Arial"/>
                <w:b/>
                <w:szCs w:val="24"/>
              </w:rPr>
            </w:pPr>
            <w:r w:rsidRPr="00D23019">
              <w:rPr>
                <w:rFonts w:ascii="Arial" w:hAnsi="Arial"/>
                <w:b/>
                <w:szCs w:val="24"/>
              </w:rPr>
              <w:t xml:space="preserve">Abbreviation </w:t>
            </w:r>
          </w:p>
        </w:tc>
        <w:tc>
          <w:tcPr>
            <w:tcW w:w="6147" w:type="dxa"/>
          </w:tcPr>
          <w:p w14:paraId="1213BDDE" w14:textId="77777777" w:rsidR="007735E2" w:rsidRPr="00D23019" w:rsidRDefault="007735E2" w:rsidP="002E30E7">
            <w:pPr>
              <w:pStyle w:val="Table-bodytext"/>
              <w:rPr>
                <w:rFonts w:ascii="Arial" w:hAnsi="Arial"/>
                <w:b/>
                <w:szCs w:val="24"/>
              </w:rPr>
            </w:pPr>
            <w:r w:rsidRPr="00D23019">
              <w:rPr>
                <w:rFonts w:ascii="Arial" w:hAnsi="Arial"/>
                <w:b/>
                <w:szCs w:val="24"/>
              </w:rPr>
              <w:t xml:space="preserve">Term </w:t>
            </w:r>
          </w:p>
        </w:tc>
      </w:tr>
      <w:tr w:rsidR="007735E2" w:rsidRPr="003A432C" w14:paraId="705D3589" w14:textId="77777777" w:rsidTr="0070627B">
        <w:tc>
          <w:tcPr>
            <w:tcW w:w="3369" w:type="dxa"/>
          </w:tcPr>
          <w:p w14:paraId="1782B8EF" w14:textId="77777777" w:rsidR="007735E2" w:rsidRPr="00D23019" w:rsidRDefault="007735E2" w:rsidP="002E30E7">
            <w:pPr>
              <w:pStyle w:val="Table-bodytext"/>
              <w:rPr>
                <w:b w:val="0"/>
                <w:szCs w:val="24"/>
              </w:rPr>
            </w:pPr>
            <w:r w:rsidRPr="00D23019">
              <w:rPr>
                <w:b w:val="0"/>
                <w:szCs w:val="24"/>
              </w:rPr>
              <w:t>AMC</w:t>
            </w:r>
          </w:p>
        </w:tc>
        <w:tc>
          <w:tcPr>
            <w:tcW w:w="6147" w:type="dxa"/>
          </w:tcPr>
          <w:p w14:paraId="0CFD66CB" w14:textId="77777777" w:rsidR="007735E2" w:rsidRPr="00D23019" w:rsidRDefault="007735E2" w:rsidP="002E30E7">
            <w:pPr>
              <w:pStyle w:val="Table-bodytext"/>
              <w:rPr>
                <w:b w:val="0"/>
                <w:szCs w:val="24"/>
              </w:rPr>
            </w:pPr>
            <w:r w:rsidRPr="00D23019">
              <w:rPr>
                <w:b w:val="0"/>
                <w:szCs w:val="24"/>
              </w:rPr>
              <w:t>Antimicrobial Consumption</w:t>
            </w:r>
          </w:p>
        </w:tc>
      </w:tr>
      <w:tr w:rsidR="007735E2" w:rsidRPr="003A432C" w14:paraId="33684C18" w14:textId="77777777" w:rsidTr="0070627B">
        <w:tc>
          <w:tcPr>
            <w:tcW w:w="3369" w:type="dxa"/>
          </w:tcPr>
          <w:p w14:paraId="42DBC706" w14:textId="77777777" w:rsidR="007735E2" w:rsidRPr="00D23019" w:rsidRDefault="007735E2" w:rsidP="002E30E7">
            <w:pPr>
              <w:pStyle w:val="Table-bodytext"/>
              <w:rPr>
                <w:b w:val="0"/>
                <w:szCs w:val="24"/>
              </w:rPr>
            </w:pPr>
            <w:r w:rsidRPr="00D23019">
              <w:rPr>
                <w:b w:val="0"/>
                <w:szCs w:val="24"/>
              </w:rPr>
              <w:t>AMR</w:t>
            </w:r>
          </w:p>
        </w:tc>
        <w:tc>
          <w:tcPr>
            <w:tcW w:w="6147" w:type="dxa"/>
          </w:tcPr>
          <w:p w14:paraId="046F0D92" w14:textId="77777777" w:rsidR="007735E2" w:rsidRPr="00D23019" w:rsidRDefault="007735E2" w:rsidP="002E30E7">
            <w:pPr>
              <w:pStyle w:val="Table-bodytext"/>
              <w:rPr>
                <w:b w:val="0"/>
                <w:szCs w:val="24"/>
              </w:rPr>
            </w:pPr>
            <w:r w:rsidRPr="00D23019">
              <w:rPr>
                <w:b w:val="0"/>
                <w:szCs w:val="24"/>
              </w:rPr>
              <w:t>Antimicrobial Resistance</w:t>
            </w:r>
          </w:p>
        </w:tc>
      </w:tr>
      <w:tr w:rsidR="007735E2" w:rsidRPr="003A432C" w14:paraId="28E7EB54" w14:textId="77777777" w:rsidTr="0070627B">
        <w:tc>
          <w:tcPr>
            <w:tcW w:w="3369" w:type="dxa"/>
          </w:tcPr>
          <w:p w14:paraId="433BF515" w14:textId="77777777" w:rsidR="007735E2" w:rsidRPr="00D23019" w:rsidRDefault="007735E2" w:rsidP="002E30E7">
            <w:pPr>
              <w:pStyle w:val="Table-bodytext"/>
              <w:rPr>
                <w:b w:val="0"/>
                <w:szCs w:val="24"/>
              </w:rPr>
            </w:pPr>
            <w:r w:rsidRPr="00D23019">
              <w:rPr>
                <w:b w:val="0"/>
                <w:szCs w:val="24"/>
              </w:rPr>
              <w:t>AMR CC</w:t>
            </w:r>
          </w:p>
        </w:tc>
        <w:tc>
          <w:tcPr>
            <w:tcW w:w="6147" w:type="dxa"/>
          </w:tcPr>
          <w:p w14:paraId="6E360197" w14:textId="77777777" w:rsidR="007735E2" w:rsidRPr="00D23019" w:rsidRDefault="007735E2" w:rsidP="002E30E7">
            <w:pPr>
              <w:pStyle w:val="Table-bodytext"/>
              <w:rPr>
                <w:b w:val="0"/>
                <w:szCs w:val="24"/>
              </w:rPr>
            </w:pPr>
            <w:r w:rsidRPr="00D23019">
              <w:rPr>
                <w:b w:val="0"/>
                <w:szCs w:val="24"/>
              </w:rPr>
              <w:t>AMR Coordination Committee</w:t>
            </w:r>
          </w:p>
        </w:tc>
      </w:tr>
      <w:tr w:rsidR="007735E2" w:rsidRPr="003A432C" w14:paraId="314E0118" w14:textId="77777777" w:rsidTr="0070627B">
        <w:tc>
          <w:tcPr>
            <w:tcW w:w="3369" w:type="dxa"/>
          </w:tcPr>
          <w:p w14:paraId="643BB787" w14:textId="77777777" w:rsidR="007735E2" w:rsidRPr="00D23019" w:rsidRDefault="007735E2" w:rsidP="002E30E7">
            <w:pPr>
              <w:pStyle w:val="Table-bodytext"/>
              <w:rPr>
                <w:b w:val="0"/>
                <w:szCs w:val="24"/>
              </w:rPr>
            </w:pPr>
            <w:r w:rsidRPr="00D23019">
              <w:rPr>
                <w:b w:val="0"/>
                <w:szCs w:val="24"/>
              </w:rPr>
              <w:t>AMS</w:t>
            </w:r>
          </w:p>
        </w:tc>
        <w:tc>
          <w:tcPr>
            <w:tcW w:w="6147" w:type="dxa"/>
          </w:tcPr>
          <w:p w14:paraId="61FC90DB" w14:textId="77777777" w:rsidR="007735E2" w:rsidRPr="00D23019" w:rsidRDefault="007735E2" w:rsidP="002E30E7">
            <w:pPr>
              <w:pStyle w:val="Table-bodytext"/>
              <w:rPr>
                <w:b w:val="0"/>
                <w:szCs w:val="24"/>
              </w:rPr>
            </w:pPr>
            <w:r w:rsidRPr="00D23019">
              <w:rPr>
                <w:b w:val="0"/>
                <w:szCs w:val="24"/>
              </w:rPr>
              <w:t>Antimicrobial Stewardship</w:t>
            </w:r>
          </w:p>
        </w:tc>
      </w:tr>
      <w:tr w:rsidR="007735E2" w:rsidRPr="003A432C" w14:paraId="30D4A401" w14:textId="77777777" w:rsidTr="0070627B">
        <w:tc>
          <w:tcPr>
            <w:tcW w:w="3369" w:type="dxa"/>
          </w:tcPr>
          <w:p w14:paraId="188CBFE7" w14:textId="77777777" w:rsidR="007735E2" w:rsidRPr="00D23019" w:rsidRDefault="007735E2" w:rsidP="002E30E7">
            <w:pPr>
              <w:pStyle w:val="Table-bodytext"/>
              <w:rPr>
                <w:b w:val="0"/>
                <w:szCs w:val="24"/>
              </w:rPr>
            </w:pPr>
            <w:r w:rsidRPr="00D23019">
              <w:rPr>
                <w:b w:val="0"/>
                <w:szCs w:val="24"/>
              </w:rPr>
              <w:t>AMU</w:t>
            </w:r>
          </w:p>
        </w:tc>
        <w:tc>
          <w:tcPr>
            <w:tcW w:w="6147" w:type="dxa"/>
          </w:tcPr>
          <w:p w14:paraId="6AAAADA6" w14:textId="77777777" w:rsidR="007735E2" w:rsidRPr="00D23019" w:rsidRDefault="007735E2" w:rsidP="002E30E7">
            <w:pPr>
              <w:pStyle w:val="Table-bodytext"/>
              <w:rPr>
                <w:b w:val="0"/>
                <w:szCs w:val="24"/>
              </w:rPr>
            </w:pPr>
            <w:r w:rsidRPr="00D23019">
              <w:rPr>
                <w:b w:val="0"/>
                <w:szCs w:val="24"/>
              </w:rPr>
              <w:t>Antimicrobial usage</w:t>
            </w:r>
          </w:p>
        </w:tc>
      </w:tr>
      <w:tr w:rsidR="007735E2" w:rsidRPr="003A432C" w14:paraId="46DA80F2" w14:textId="77777777" w:rsidTr="0070627B">
        <w:tc>
          <w:tcPr>
            <w:tcW w:w="3369" w:type="dxa"/>
          </w:tcPr>
          <w:p w14:paraId="68A48703" w14:textId="77777777" w:rsidR="007735E2" w:rsidRPr="00D23019" w:rsidRDefault="007735E2" w:rsidP="002E30E7">
            <w:pPr>
              <w:pStyle w:val="Table-bodytext"/>
              <w:rPr>
                <w:b w:val="0"/>
                <w:szCs w:val="24"/>
              </w:rPr>
            </w:pPr>
            <w:r w:rsidRPr="00D23019">
              <w:rPr>
                <w:b w:val="0"/>
                <w:szCs w:val="24"/>
              </w:rPr>
              <w:t>ATLASS</w:t>
            </w:r>
          </w:p>
        </w:tc>
        <w:tc>
          <w:tcPr>
            <w:tcW w:w="6147" w:type="dxa"/>
          </w:tcPr>
          <w:p w14:paraId="0ADC7754" w14:textId="77777777" w:rsidR="007735E2" w:rsidRPr="00D23019" w:rsidRDefault="007735E2" w:rsidP="002E30E7">
            <w:pPr>
              <w:pStyle w:val="Table-bodytext"/>
              <w:rPr>
                <w:b w:val="0"/>
                <w:szCs w:val="24"/>
              </w:rPr>
            </w:pPr>
            <w:r w:rsidRPr="00D23019">
              <w:rPr>
                <w:b w:val="0"/>
                <w:szCs w:val="24"/>
              </w:rPr>
              <w:t>Assessment Tool for Laboratory and Antimicrobial resistance Surveillance Systems</w:t>
            </w:r>
          </w:p>
        </w:tc>
      </w:tr>
      <w:tr w:rsidR="007735E2" w:rsidRPr="003A432C" w14:paraId="4399599D" w14:textId="77777777" w:rsidTr="0070627B">
        <w:tc>
          <w:tcPr>
            <w:tcW w:w="3369" w:type="dxa"/>
          </w:tcPr>
          <w:p w14:paraId="47919CEE" w14:textId="77777777" w:rsidR="007735E2" w:rsidRPr="00D23019" w:rsidRDefault="007735E2" w:rsidP="002E30E7">
            <w:pPr>
              <w:pStyle w:val="Table-bodytext"/>
              <w:rPr>
                <w:b w:val="0"/>
                <w:szCs w:val="24"/>
              </w:rPr>
            </w:pPr>
            <w:r w:rsidRPr="00D23019">
              <w:rPr>
                <w:b w:val="0"/>
                <w:szCs w:val="24"/>
              </w:rPr>
              <w:t>CwPAMS</w:t>
            </w:r>
          </w:p>
        </w:tc>
        <w:tc>
          <w:tcPr>
            <w:tcW w:w="6147" w:type="dxa"/>
          </w:tcPr>
          <w:p w14:paraId="383E2835" w14:textId="77777777" w:rsidR="007735E2" w:rsidRPr="00D23019" w:rsidRDefault="007735E2" w:rsidP="002E30E7">
            <w:pPr>
              <w:pStyle w:val="Table-bodytext"/>
              <w:rPr>
                <w:b w:val="0"/>
                <w:szCs w:val="24"/>
              </w:rPr>
            </w:pPr>
            <w:r w:rsidRPr="00D23019">
              <w:rPr>
                <w:b w:val="0"/>
                <w:szCs w:val="24"/>
              </w:rPr>
              <w:t xml:space="preserve">Commonwealth Partnerships for Antimicrobial Stewardship </w:t>
            </w:r>
          </w:p>
        </w:tc>
      </w:tr>
      <w:tr w:rsidR="007735E2" w:rsidRPr="003A432C" w14:paraId="2CCDDCB6" w14:textId="77777777" w:rsidTr="0070627B">
        <w:tc>
          <w:tcPr>
            <w:tcW w:w="3369" w:type="dxa"/>
          </w:tcPr>
          <w:p w14:paraId="6D0FA623" w14:textId="77777777" w:rsidR="007735E2" w:rsidRPr="00D23019" w:rsidRDefault="007735E2" w:rsidP="002E30E7">
            <w:pPr>
              <w:pStyle w:val="Table-bodytext"/>
              <w:rPr>
                <w:b w:val="0"/>
                <w:szCs w:val="24"/>
              </w:rPr>
            </w:pPr>
            <w:r w:rsidRPr="00D23019">
              <w:rPr>
                <w:b w:val="0"/>
                <w:szCs w:val="24"/>
              </w:rPr>
              <w:t>DHSC</w:t>
            </w:r>
          </w:p>
        </w:tc>
        <w:tc>
          <w:tcPr>
            <w:tcW w:w="6147" w:type="dxa"/>
          </w:tcPr>
          <w:p w14:paraId="0C657F35" w14:textId="77777777" w:rsidR="007735E2" w:rsidRPr="00D23019" w:rsidRDefault="007735E2" w:rsidP="002E30E7">
            <w:pPr>
              <w:pStyle w:val="Table-bodytext"/>
              <w:rPr>
                <w:b w:val="0"/>
                <w:szCs w:val="24"/>
              </w:rPr>
            </w:pPr>
            <w:r w:rsidRPr="00D23019">
              <w:rPr>
                <w:b w:val="0"/>
                <w:szCs w:val="24"/>
              </w:rPr>
              <w:t>Department of Health and Social Care</w:t>
            </w:r>
          </w:p>
        </w:tc>
      </w:tr>
      <w:tr w:rsidR="007735E2" w:rsidRPr="003A432C" w14:paraId="78D4F319" w14:textId="77777777" w:rsidTr="0070627B">
        <w:tc>
          <w:tcPr>
            <w:tcW w:w="3369" w:type="dxa"/>
          </w:tcPr>
          <w:p w14:paraId="7098FE64" w14:textId="77777777" w:rsidR="007735E2" w:rsidRPr="00D23019" w:rsidRDefault="007735E2" w:rsidP="002E30E7">
            <w:pPr>
              <w:pStyle w:val="Table-bodytext"/>
              <w:rPr>
                <w:b w:val="0"/>
                <w:szCs w:val="24"/>
              </w:rPr>
            </w:pPr>
            <w:r w:rsidRPr="00D23019">
              <w:rPr>
                <w:b w:val="0"/>
                <w:szCs w:val="24"/>
              </w:rPr>
              <w:t>FAO</w:t>
            </w:r>
          </w:p>
        </w:tc>
        <w:tc>
          <w:tcPr>
            <w:tcW w:w="6147" w:type="dxa"/>
          </w:tcPr>
          <w:p w14:paraId="38643F16" w14:textId="77777777" w:rsidR="007735E2" w:rsidRPr="00D23019" w:rsidRDefault="007735E2" w:rsidP="002E30E7">
            <w:pPr>
              <w:pStyle w:val="Table-bodytext"/>
              <w:rPr>
                <w:b w:val="0"/>
                <w:szCs w:val="24"/>
              </w:rPr>
            </w:pPr>
            <w:r w:rsidRPr="00D23019">
              <w:rPr>
                <w:b w:val="0"/>
                <w:szCs w:val="24"/>
              </w:rPr>
              <w:t>Food and Agriculture Organization</w:t>
            </w:r>
          </w:p>
        </w:tc>
      </w:tr>
      <w:tr w:rsidR="007735E2" w:rsidRPr="003A432C" w14:paraId="2858F4F6" w14:textId="77777777" w:rsidTr="0070627B">
        <w:tc>
          <w:tcPr>
            <w:tcW w:w="3369" w:type="dxa"/>
          </w:tcPr>
          <w:p w14:paraId="1C7F0A8F" w14:textId="77777777" w:rsidR="007735E2" w:rsidRPr="00D23019" w:rsidRDefault="007735E2" w:rsidP="002E30E7">
            <w:pPr>
              <w:pStyle w:val="Table-bodytext"/>
              <w:rPr>
                <w:b w:val="0"/>
                <w:szCs w:val="24"/>
              </w:rPr>
            </w:pPr>
            <w:r w:rsidRPr="00D23019">
              <w:rPr>
                <w:b w:val="0"/>
                <w:szCs w:val="24"/>
              </w:rPr>
              <w:t>FCDO</w:t>
            </w:r>
          </w:p>
        </w:tc>
        <w:tc>
          <w:tcPr>
            <w:tcW w:w="6147" w:type="dxa"/>
          </w:tcPr>
          <w:p w14:paraId="50C4C8D2" w14:textId="77777777" w:rsidR="007735E2" w:rsidRPr="00D23019" w:rsidRDefault="007735E2" w:rsidP="002E30E7">
            <w:pPr>
              <w:pStyle w:val="Table-bodytext"/>
              <w:rPr>
                <w:b w:val="0"/>
                <w:szCs w:val="24"/>
              </w:rPr>
            </w:pPr>
            <w:r w:rsidRPr="00D23019">
              <w:rPr>
                <w:b w:val="0"/>
                <w:szCs w:val="24"/>
              </w:rPr>
              <w:t>Foreign and Commonwealth Development Office</w:t>
            </w:r>
          </w:p>
        </w:tc>
      </w:tr>
      <w:tr w:rsidR="005952A9" w:rsidRPr="003A432C" w14:paraId="053A12EE" w14:textId="77777777" w:rsidTr="0070627B">
        <w:tc>
          <w:tcPr>
            <w:tcW w:w="3369" w:type="dxa"/>
          </w:tcPr>
          <w:p w14:paraId="3153EB8D" w14:textId="6CC345B6" w:rsidR="005952A9" w:rsidRPr="00D23019" w:rsidRDefault="005952A9" w:rsidP="00992C8F">
            <w:pPr>
              <w:pStyle w:val="Table-bodytext"/>
              <w:rPr>
                <w:b w:val="0"/>
                <w:szCs w:val="24"/>
              </w:rPr>
            </w:pPr>
            <w:r w:rsidRPr="00D23019">
              <w:rPr>
                <w:b w:val="0"/>
                <w:szCs w:val="24"/>
              </w:rPr>
              <w:t>GHS</w:t>
            </w:r>
          </w:p>
        </w:tc>
        <w:tc>
          <w:tcPr>
            <w:tcW w:w="6147" w:type="dxa"/>
          </w:tcPr>
          <w:p w14:paraId="7B805497" w14:textId="5726859B" w:rsidR="005952A9" w:rsidRPr="00D23019" w:rsidRDefault="005952A9" w:rsidP="00992C8F">
            <w:pPr>
              <w:pStyle w:val="Table-bodytext"/>
              <w:rPr>
                <w:b w:val="0"/>
                <w:szCs w:val="24"/>
              </w:rPr>
            </w:pPr>
            <w:r w:rsidRPr="00D23019">
              <w:rPr>
                <w:b w:val="0"/>
                <w:szCs w:val="24"/>
              </w:rPr>
              <w:t>Global Health Security</w:t>
            </w:r>
          </w:p>
        </w:tc>
      </w:tr>
      <w:tr w:rsidR="007735E2" w:rsidRPr="003A432C" w14:paraId="74F54840" w14:textId="77777777" w:rsidTr="0070627B">
        <w:tc>
          <w:tcPr>
            <w:tcW w:w="3369" w:type="dxa"/>
          </w:tcPr>
          <w:p w14:paraId="77BA3E95" w14:textId="77777777" w:rsidR="007735E2" w:rsidRPr="00D23019" w:rsidRDefault="007735E2" w:rsidP="002E30E7">
            <w:pPr>
              <w:pStyle w:val="Table-bodytext"/>
              <w:rPr>
                <w:b w:val="0"/>
                <w:szCs w:val="24"/>
              </w:rPr>
            </w:pPr>
            <w:r w:rsidRPr="00D23019">
              <w:rPr>
                <w:b w:val="0"/>
                <w:szCs w:val="24"/>
              </w:rPr>
              <w:t>GIZ</w:t>
            </w:r>
          </w:p>
        </w:tc>
        <w:tc>
          <w:tcPr>
            <w:tcW w:w="6147" w:type="dxa"/>
          </w:tcPr>
          <w:p w14:paraId="3EFFC354" w14:textId="77777777" w:rsidR="007735E2" w:rsidRPr="00D23019" w:rsidRDefault="007735E2" w:rsidP="002E30E7">
            <w:pPr>
              <w:pStyle w:val="Table-bodytext"/>
              <w:rPr>
                <w:b w:val="0"/>
                <w:szCs w:val="24"/>
              </w:rPr>
            </w:pPr>
            <w:r w:rsidRPr="00D23019">
              <w:rPr>
                <w:b w:val="0"/>
                <w:szCs w:val="24"/>
              </w:rPr>
              <w:t>German Corporation for International Cooperation</w:t>
            </w:r>
          </w:p>
        </w:tc>
      </w:tr>
      <w:tr w:rsidR="007735E2" w:rsidRPr="003A432C" w14:paraId="7A513A8D" w14:textId="77777777" w:rsidTr="0070627B">
        <w:tc>
          <w:tcPr>
            <w:tcW w:w="3369" w:type="dxa"/>
          </w:tcPr>
          <w:p w14:paraId="00E1BE2F" w14:textId="77777777" w:rsidR="007735E2" w:rsidRPr="00D23019" w:rsidRDefault="007735E2" w:rsidP="002E30E7">
            <w:pPr>
              <w:pStyle w:val="Table-bodytext"/>
              <w:rPr>
                <w:b w:val="0"/>
                <w:szCs w:val="24"/>
              </w:rPr>
            </w:pPr>
            <w:r w:rsidRPr="00D23019">
              <w:rPr>
                <w:b w:val="0"/>
                <w:szCs w:val="24"/>
              </w:rPr>
              <w:t>GLASS</w:t>
            </w:r>
          </w:p>
        </w:tc>
        <w:tc>
          <w:tcPr>
            <w:tcW w:w="6147" w:type="dxa"/>
          </w:tcPr>
          <w:p w14:paraId="6F49B929" w14:textId="77777777" w:rsidR="007735E2" w:rsidRPr="00D23019" w:rsidRDefault="007735E2" w:rsidP="002E30E7">
            <w:pPr>
              <w:pStyle w:val="Table-bodytext"/>
              <w:rPr>
                <w:b w:val="0"/>
                <w:szCs w:val="24"/>
              </w:rPr>
            </w:pPr>
            <w:r w:rsidRPr="00D23019">
              <w:rPr>
                <w:b w:val="0"/>
                <w:szCs w:val="24"/>
              </w:rPr>
              <w:t>Global Antimicrobial Resistance and Use Surveillance System</w:t>
            </w:r>
          </w:p>
        </w:tc>
      </w:tr>
      <w:tr w:rsidR="007735E2" w:rsidRPr="003A432C" w14:paraId="20A133C2" w14:textId="77777777" w:rsidTr="0070627B">
        <w:tc>
          <w:tcPr>
            <w:tcW w:w="3369" w:type="dxa"/>
          </w:tcPr>
          <w:p w14:paraId="194024BE" w14:textId="77777777" w:rsidR="007735E2" w:rsidRPr="00D23019" w:rsidRDefault="007735E2" w:rsidP="002E30E7">
            <w:pPr>
              <w:pStyle w:val="Table-bodytext"/>
              <w:rPr>
                <w:b w:val="0"/>
                <w:szCs w:val="24"/>
              </w:rPr>
            </w:pPr>
            <w:r w:rsidRPr="00D23019">
              <w:rPr>
                <w:b w:val="0"/>
                <w:szCs w:val="24"/>
              </w:rPr>
              <w:t>GRAM</w:t>
            </w:r>
          </w:p>
        </w:tc>
        <w:tc>
          <w:tcPr>
            <w:tcW w:w="6147" w:type="dxa"/>
          </w:tcPr>
          <w:p w14:paraId="4CCE47B1" w14:textId="77777777" w:rsidR="007735E2" w:rsidRPr="00D23019" w:rsidRDefault="007735E2" w:rsidP="002E30E7">
            <w:pPr>
              <w:pStyle w:val="Table-bodytext"/>
              <w:rPr>
                <w:b w:val="0"/>
                <w:szCs w:val="24"/>
              </w:rPr>
            </w:pPr>
            <w:r w:rsidRPr="00D23019">
              <w:rPr>
                <w:b w:val="0"/>
                <w:szCs w:val="24"/>
              </w:rPr>
              <w:t>Global Research on AMR</w:t>
            </w:r>
          </w:p>
        </w:tc>
      </w:tr>
      <w:tr w:rsidR="007735E2" w:rsidRPr="003A432C" w14:paraId="1CFB3AA0" w14:textId="77777777" w:rsidTr="0070627B">
        <w:tc>
          <w:tcPr>
            <w:tcW w:w="3369" w:type="dxa"/>
          </w:tcPr>
          <w:p w14:paraId="634B66E0" w14:textId="77777777" w:rsidR="007735E2" w:rsidRPr="00D23019" w:rsidRDefault="007735E2" w:rsidP="002E30E7">
            <w:pPr>
              <w:pStyle w:val="Table-bodytext"/>
              <w:rPr>
                <w:b w:val="0"/>
                <w:szCs w:val="24"/>
              </w:rPr>
            </w:pPr>
            <w:r w:rsidRPr="00D23019">
              <w:rPr>
                <w:b w:val="0"/>
                <w:szCs w:val="24"/>
              </w:rPr>
              <w:t>GSMS</w:t>
            </w:r>
          </w:p>
        </w:tc>
        <w:tc>
          <w:tcPr>
            <w:tcW w:w="6147" w:type="dxa"/>
          </w:tcPr>
          <w:p w14:paraId="5EB69190" w14:textId="77777777" w:rsidR="007735E2" w:rsidRPr="00D23019" w:rsidRDefault="007735E2" w:rsidP="002E30E7">
            <w:pPr>
              <w:pStyle w:val="Table-bodytext"/>
              <w:rPr>
                <w:b w:val="0"/>
                <w:szCs w:val="24"/>
              </w:rPr>
            </w:pPr>
            <w:r w:rsidRPr="00D23019">
              <w:rPr>
                <w:b w:val="0"/>
                <w:szCs w:val="24"/>
              </w:rPr>
              <w:t>Global Surveillance and Monitoring System (WHO)</w:t>
            </w:r>
          </w:p>
        </w:tc>
      </w:tr>
      <w:tr w:rsidR="007735E2" w:rsidRPr="003A432C" w14:paraId="32A3D09A" w14:textId="77777777" w:rsidTr="0070627B">
        <w:tc>
          <w:tcPr>
            <w:tcW w:w="3369" w:type="dxa"/>
          </w:tcPr>
          <w:p w14:paraId="6D04C285" w14:textId="77777777" w:rsidR="007735E2" w:rsidRPr="00D23019" w:rsidRDefault="007735E2" w:rsidP="002E30E7">
            <w:pPr>
              <w:pStyle w:val="Table-bodytext"/>
              <w:rPr>
                <w:b w:val="0"/>
                <w:szCs w:val="24"/>
              </w:rPr>
            </w:pPr>
            <w:r w:rsidRPr="00D23019">
              <w:rPr>
                <w:b w:val="0"/>
                <w:szCs w:val="24"/>
              </w:rPr>
              <w:t>HMG</w:t>
            </w:r>
          </w:p>
        </w:tc>
        <w:tc>
          <w:tcPr>
            <w:tcW w:w="6147" w:type="dxa"/>
          </w:tcPr>
          <w:p w14:paraId="6AA76392" w14:textId="77777777" w:rsidR="007735E2" w:rsidRPr="00D23019" w:rsidRDefault="007735E2" w:rsidP="002E30E7">
            <w:pPr>
              <w:pStyle w:val="Table-bodytext"/>
              <w:rPr>
                <w:b w:val="0"/>
                <w:szCs w:val="24"/>
              </w:rPr>
            </w:pPr>
            <w:r w:rsidRPr="00D23019">
              <w:rPr>
                <w:b w:val="0"/>
                <w:szCs w:val="24"/>
              </w:rPr>
              <w:t>Her Majesty’s Government (UK)</w:t>
            </w:r>
          </w:p>
        </w:tc>
      </w:tr>
      <w:tr w:rsidR="007735E2" w:rsidRPr="003A432C" w14:paraId="2702F021" w14:textId="77777777" w:rsidTr="0070627B">
        <w:tc>
          <w:tcPr>
            <w:tcW w:w="3369" w:type="dxa"/>
          </w:tcPr>
          <w:p w14:paraId="51866163" w14:textId="77777777" w:rsidR="007735E2" w:rsidRPr="00D23019" w:rsidRDefault="007735E2" w:rsidP="002E30E7">
            <w:pPr>
              <w:pStyle w:val="Table-bodytext"/>
              <w:rPr>
                <w:b w:val="0"/>
                <w:szCs w:val="24"/>
              </w:rPr>
            </w:pPr>
            <w:r w:rsidRPr="00D23019">
              <w:rPr>
                <w:b w:val="0"/>
                <w:szCs w:val="24"/>
              </w:rPr>
              <w:t>ICDDR, B</w:t>
            </w:r>
          </w:p>
        </w:tc>
        <w:tc>
          <w:tcPr>
            <w:tcW w:w="6147" w:type="dxa"/>
          </w:tcPr>
          <w:p w14:paraId="2B52EAB5" w14:textId="77777777" w:rsidR="007735E2" w:rsidRPr="00D23019" w:rsidRDefault="007735E2" w:rsidP="002E30E7">
            <w:pPr>
              <w:pStyle w:val="Table-bodytext"/>
              <w:rPr>
                <w:b w:val="0"/>
                <w:szCs w:val="24"/>
              </w:rPr>
            </w:pPr>
            <w:r w:rsidRPr="00D23019">
              <w:rPr>
                <w:b w:val="0"/>
                <w:szCs w:val="24"/>
              </w:rPr>
              <w:t>International Centre for Diarrhoeal Disease Research Bangladesh</w:t>
            </w:r>
          </w:p>
        </w:tc>
      </w:tr>
      <w:tr w:rsidR="007735E2" w:rsidRPr="003A432C" w14:paraId="7376F68B" w14:textId="77777777" w:rsidTr="0070627B">
        <w:tc>
          <w:tcPr>
            <w:tcW w:w="3369" w:type="dxa"/>
          </w:tcPr>
          <w:p w14:paraId="36C2FBAE" w14:textId="77777777" w:rsidR="007735E2" w:rsidRPr="00D23019" w:rsidRDefault="007735E2" w:rsidP="002E30E7">
            <w:pPr>
              <w:pStyle w:val="Table-bodytext"/>
              <w:rPr>
                <w:b w:val="0"/>
                <w:szCs w:val="24"/>
              </w:rPr>
            </w:pPr>
            <w:r w:rsidRPr="00D23019">
              <w:rPr>
                <w:b w:val="0"/>
                <w:szCs w:val="24"/>
              </w:rPr>
              <w:t>LMICs</w:t>
            </w:r>
          </w:p>
        </w:tc>
        <w:tc>
          <w:tcPr>
            <w:tcW w:w="6147" w:type="dxa"/>
          </w:tcPr>
          <w:p w14:paraId="713E05F2" w14:textId="77777777" w:rsidR="007735E2" w:rsidRPr="00D23019" w:rsidRDefault="007735E2" w:rsidP="002E30E7">
            <w:pPr>
              <w:pStyle w:val="Table-bodytext"/>
              <w:rPr>
                <w:b w:val="0"/>
                <w:szCs w:val="24"/>
              </w:rPr>
            </w:pPr>
            <w:r w:rsidRPr="00D23019">
              <w:rPr>
                <w:b w:val="0"/>
                <w:szCs w:val="24"/>
              </w:rPr>
              <w:t>Low- and Middle-Income Countries</w:t>
            </w:r>
          </w:p>
        </w:tc>
      </w:tr>
      <w:tr w:rsidR="007735E2" w:rsidRPr="003A432C" w14:paraId="1C638C39" w14:textId="77777777" w:rsidTr="0070627B">
        <w:tc>
          <w:tcPr>
            <w:tcW w:w="3369" w:type="dxa"/>
          </w:tcPr>
          <w:p w14:paraId="35DD2669" w14:textId="77777777" w:rsidR="007735E2" w:rsidRPr="00D23019" w:rsidRDefault="007735E2" w:rsidP="002E30E7">
            <w:pPr>
              <w:pStyle w:val="Table-bodytext"/>
              <w:rPr>
                <w:b w:val="0"/>
                <w:szCs w:val="24"/>
              </w:rPr>
            </w:pPr>
            <w:r w:rsidRPr="00D23019">
              <w:rPr>
                <w:b w:val="0"/>
                <w:szCs w:val="24"/>
              </w:rPr>
              <w:t>MA</w:t>
            </w:r>
          </w:p>
        </w:tc>
        <w:tc>
          <w:tcPr>
            <w:tcW w:w="6147" w:type="dxa"/>
          </w:tcPr>
          <w:p w14:paraId="001763FD" w14:textId="77777777" w:rsidR="007735E2" w:rsidRPr="00D23019" w:rsidRDefault="007735E2" w:rsidP="002E30E7">
            <w:pPr>
              <w:pStyle w:val="Table-bodytext"/>
              <w:rPr>
                <w:b w:val="0"/>
                <w:szCs w:val="24"/>
              </w:rPr>
            </w:pPr>
            <w:r w:rsidRPr="00D23019">
              <w:rPr>
                <w:b w:val="0"/>
                <w:szCs w:val="24"/>
              </w:rPr>
              <w:t>Management Agent</w:t>
            </w:r>
          </w:p>
        </w:tc>
      </w:tr>
      <w:tr w:rsidR="007735E2" w:rsidRPr="003A432C" w14:paraId="3C327BE5" w14:textId="77777777" w:rsidTr="0070627B">
        <w:tc>
          <w:tcPr>
            <w:tcW w:w="3369" w:type="dxa"/>
          </w:tcPr>
          <w:p w14:paraId="320719BC" w14:textId="77777777" w:rsidR="007735E2" w:rsidRPr="00D23019" w:rsidRDefault="007735E2" w:rsidP="002E30E7">
            <w:pPr>
              <w:pStyle w:val="Table-bodytext"/>
              <w:rPr>
                <w:b w:val="0"/>
                <w:szCs w:val="24"/>
              </w:rPr>
            </w:pPr>
            <w:r w:rsidRPr="00D23019">
              <w:rPr>
                <w:b w:val="0"/>
                <w:szCs w:val="24"/>
              </w:rPr>
              <w:t>M&amp;E</w:t>
            </w:r>
          </w:p>
        </w:tc>
        <w:tc>
          <w:tcPr>
            <w:tcW w:w="6147" w:type="dxa"/>
          </w:tcPr>
          <w:p w14:paraId="55731D28" w14:textId="77777777" w:rsidR="007735E2" w:rsidRPr="00D23019" w:rsidRDefault="007735E2" w:rsidP="002E30E7">
            <w:pPr>
              <w:pStyle w:val="Table-bodytext"/>
              <w:rPr>
                <w:b w:val="0"/>
                <w:szCs w:val="24"/>
              </w:rPr>
            </w:pPr>
            <w:r w:rsidRPr="00D23019">
              <w:rPr>
                <w:b w:val="0"/>
                <w:szCs w:val="24"/>
              </w:rPr>
              <w:t>Monitoring &amp; Evaluation</w:t>
            </w:r>
          </w:p>
        </w:tc>
      </w:tr>
      <w:tr w:rsidR="007735E2" w:rsidRPr="003A432C" w14:paraId="240F4250" w14:textId="77777777" w:rsidTr="0070627B">
        <w:tc>
          <w:tcPr>
            <w:tcW w:w="3369" w:type="dxa"/>
          </w:tcPr>
          <w:p w14:paraId="77C7DD66" w14:textId="77777777" w:rsidR="007735E2" w:rsidRPr="00D23019" w:rsidRDefault="007735E2" w:rsidP="002E30E7">
            <w:pPr>
              <w:pStyle w:val="Table-bodytext"/>
              <w:rPr>
                <w:b w:val="0"/>
                <w:szCs w:val="24"/>
              </w:rPr>
            </w:pPr>
            <w:r w:rsidRPr="00D23019">
              <w:rPr>
                <w:b w:val="0"/>
                <w:szCs w:val="24"/>
              </w:rPr>
              <w:t>MEL</w:t>
            </w:r>
          </w:p>
        </w:tc>
        <w:tc>
          <w:tcPr>
            <w:tcW w:w="6147" w:type="dxa"/>
          </w:tcPr>
          <w:p w14:paraId="498590C2" w14:textId="77777777" w:rsidR="007735E2" w:rsidRPr="00D23019" w:rsidRDefault="007735E2" w:rsidP="002E30E7">
            <w:pPr>
              <w:pStyle w:val="Table-bodytext"/>
              <w:rPr>
                <w:b w:val="0"/>
                <w:szCs w:val="24"/>
              </w:rPr>
            </w:pPr>
            <w:r w:rsidRPr="00D23019">
              <w:rPr>
                <w:b w:val="0"/>
                <w:szCs w:val="24"/>
              </w:rPr>
              <w:t>Monitoring Evaluation and Learning</w:t>
            </w:r>
          </w:p>
        </w:tc>
      </w:tr>
      <w:tr w:rsidR="007735E2" w:rsidRPr="003A432C" w14:paraId="7C34C17A" w14:textId="77777777" w:rsidTr="0070627B">
        <w:tc>
          <w:tcPr>
            <w:tcW w:w="3369" w:type="dxa"/>
          </w:tcPr>
          <w:p w14:paraId="786FB6C0" w14:textId="12CDE9FC" w:rsidR="007735E2" w:rsidRPr="00D23019" w:rsidRDefault="00C442DE" w:rsidP="002E30E7">
            <w:pPr>
              <w:pStyle w:val="Table-bodytext"/>
              <w:rPr>
                <w:b w:val="0"/>
                <w:szCs w:val="24"/>
              </w:rPr>
            </w:pPr>
            <w:r>
              <w:rPr>
                <w:b w:val="0"/>
                <w:szCs w:val="24"/>
              </w:rPr>
              <w:t>MA</w:t>
            </w:r>
          </w:p>
        </w:tc>
        <w:tc>
          <w:tcPr>
            <w:tcW w:w="6147" w:type="dxa"/>
          </w:tcPr>
          <w:p w14:paraId="70C2CCB9" w14:textId="77777777" w:rsidR="007735E2" w:rsidRPr="00D23019" w:rsidRDefault="007735E2" w:rsidP="002E30E7">
            <w:pPr>
              <w:pStyle w:val="Table-bodytext"/>
              <w:rPr>
                <w:b w:val="0"/>
                <w:szCs w:val="24"/>
              </w:rPr>
            </w:pPr>
            <w:r w:rsidRPr="00D23019">
              <w:rPr>
                <w:b w:val="0"/>
                <w:szCs w:val="24"/>
              </w:rPr>
              <w:t>Mott MacDonald</w:t>
            </w:r>
          </w:p>
        </w:tc>
      </w:tr>
      <w:tr w:rsidR="007735E2" w:rsidRPr="003A432C" w14:paraId="5C78627A" w14:textId="77777777" w:rsidTr="0070627B">
        <w:tc>
          <w:tcPr>
            <w:tcW w:w="3369" w:type="dxa"/>
          </w:tcPr>
          <w:p w14:paraId="0EEF514C" w14:textId="77777777" w:rsidR="007735E2" w:rsidRPr="00D23019" w:rsidRDefault="007735E2" w:rsidP="002E30E7">
            <w:pPr>
              <w:pStyle w:val="Table-bodytext"/>
              <w:rPr>
                <w:b w:val="0"/>
                <w:szCs w:val="24"/>
              </w:rPr>
            </w:pPr>
            <w:r w:rsidRPr="00D23019">
              <w:rPr>
                <w:b w:val="0"/>
                <w:szCs w:val="24"/>
              </w:rPr>
              <w:t>MPTF</w:t>
            </w:r>
          </w:p>
        </w:tc>
        <w:tc>
          <w:tcPr>
            <w:tcW w:w="6147" w:type="dxa"/>
          </w:tcPr>
          <w:p w14:paraId="0E0E7A59" w14:textId="77777777" w:rsidR="007735E2" w:rsidRPr="00D23019" w:rsidRDefault="007735E2" w:rsidP="002E30E7">
            <w:pPr>
              <w:pStyle w:val="Table-bodytext"/>
              <w:rPr>
                <w:b w:val="0"/>
                <w:szCs w:val="24"/>
              </w:rPr>
            </w:pPr>
            <w:r w:rsidRPr="00D23019">
              <w:rPr>
                <w:b w:val="0"/>
                <w:szCs w:val="24"/>
              </w:rPr>
              <w:t>Multi-Partner Trust Fund</w:t>
            </w:r>
          </w:p>
        </w:tc>
      </w:tr>
      <w:tr w:rsidR="007735E2" w:rsidRPr="003A432C" w14:paraId="3165A0B1" w14:textId="77777777" w:rsidTr="0070627B">
        <w:tc>
          <w:tcPr>
            <w:tcW w:w="3369" w:type="dxa"/>
          </w:tcPr>
          <w:p w14:paraId="1166BA5D" w14:textId="77777777" w:rsidR="007735E2" w:rsidRPr="00D23019" w:rsidRDefault="007735E2" w:rsidP="002E30E7">
            <w:pPr>
              <w:pStyle w:val="Table-bodytext"/>
              <w:rPr>
                <w:b w:val="0"/>
                <w:szCs w:val="24"/>
              </w:rPr>
            </w:pPr>
            <w:r w:rsidRPr="00D23019">
              <w:rPr>
                <w:b w:val="0"/>
                <w:szCs w:val="24"/>
              </w:rPr>
              <w:t>NAPs</w:t>
            </w:r>
          </w:p>
        </w:tc>
        <w:tc>
          <w:tcPr>
            <w:tcW w:w="6147" w:type="dxa"/>
          </w:tcPr>
          <w:p w14:paraId="2D0845AC" w14:textId="77777777" w:rsidR="007735E2" w:rsidRPr="00D23019" w:rsidRDefault="007735E2" w:rsidP="002E30E7">
            <w:pPr>
              <w:pStyle w:val="Table-bodytext"/>
              <w:rPr>
                <w:b w:val="0"/>
                <w:szCs w:val="24"/>
              </w:rPr>
            </w:pPr>
            <w:r w:rsidRPr="00D23019">
              <w:rPr>
                <w:b w:val="0"/>
                <w:szCs w:val="24"/>
              </w:rPr>
              <w:t>National Action Plans</w:t>
            </w:r>
          </w:p>
        </w:tc>
      </w:tr>
      <w:tr w:rsidR="007735E2" w:rsidRPr="003A432C" w14:paraId="6EEDFD34" w14:textId="77777777" w:rsidTr="0070627B">
        <w:tc>
          <w:tcPr>
            <w:tcW w:w="3369" w:type="dxa"/>
          </w:tcPr>
          <w:p w14:paraId="22D26B89" w14:textId="77777777" w:rsidR="007735E2" w:rsidRPr="00D23019" w:rsidRDefault="007735E2" w:rsidP="002E30E7">
            <w:pPr>
              <w:pStyle w:val="Table-bodytext"/>
              <w:rPr>
                <w:b w:val="0"/>
                <w:szCs w:val="24"/>
              </w:rPr>
            </w:pPr>
            <w:r w:rsidRPr="00D23019">
              <w:rPr>
                <w:b w:val="0"/>
                <w:szCs w:val="24"/>
              </w:rPr>
              <w:t>NGO</w:t>
            </w:r>
          </w:p>
        </w:tc>
        <w:tc>
          <w:tcPr>
            <w:tcW w:w="6147" w:type="dxa"/>
          </w:tcPr>
          <w:p w14:paraId="7D743A50" w14:textId="77777777" w:rsidR="007735E2" w:rsidRPr="00D23019" w:rsidRDefault="007735E2" w:rsidP="002E30E7">
            <w:pPr>
              <w:pStyle w:val="Table-bodytext"/>
              <w:rPr>
                <w:b w:val="0"/>
                <w:szCs w:val="24"/>
              </w:rPr>
            </w:pPr>
            <w:r w:rsidRPr="00D23019">
              <w:rPr>
                <w:b w:val="0"/>
                <w:szCs w:val="24"/>
              </w:rPr>
              <w:t>Non-governmental organisation</w:t>
            </w:r>
          </w:p>
        </w:tc>
      </w:tr>
      <w:tr w:rsidR="007735E2" w:rsidRPr="003A432C" w14:paraId="0384DAB8" w14:textId="77777777" w:rsidTr="0070627B">
        <w:tc>
          <w:tcPr>
            <w:tcW w:w="3369" w:type="dxa"/>
          </w:tcPr>
          <w:p w14:paraId="3B17B4B1" w14:textId="77777777" w:rsidR="007735E2" w:rsidRPr="00D23019" w:rsidRDefault="007735E2" w:rsidP="002E30E7">
            <w:pPr>
              <w:pStyle w:val="Table-bodytext"/>
              <w:rPr>
                <w:b w:val="0"/>
                <w:szCs w:val="24"/>
              </w:rPr>
            </w:pPr>
            <w:r w:rsidRPr="00D23019">
              <w:rPr>
                <w:b w:val="0"/>
                <w:szCs w:val="24"/>
              </w:rPr>
              <w:lastRenderedPageBreak/>
              <w:t>NHS</w:t>
            </w:r>
          </w:p>
        </w:tc>
        <w:tc>
          <w:tcPr>
            <w:tcW w:w="6147" w:type="dxa"/>
          </w:tcPr>
          <w:p w14:paraId="177BCD6F" w14:textId="77777777" w:rsidR="007735E2" w:rsidRPr="00D23019" w:rsidRDefault="007735E2" w:rsidP="002E30E7">
            <w:pPr>
              <w:pStyle w:val="Table-bodytext"/>
              <w:rPr>
                <w:b w:val="0"/>
                <w:szCs w:val="24"/>
              </w:rPr>
            </w:pPr>
            <w:r w:rsidRPr="00D23019">
              <w:rPr>
                <w:b w:val="0"/>
                <w:szCs w:val="24"/>
              </w:rPr>
              <w:t>National Health System (UK)</w:t>
            </w:r>
          </w:p>
        </w:tc>
      </w:tr>
      <w:tr w:rsidR="007735E2" w:rsidRPr="003A432C" w14:paraId="44B23DD8" w14:textId="77777777" w:rsidTr="0070627B">
        <w:tc>
          <w:tcPr>
            <w:tcW w:w="3369" w:type="dxa"/>
          </w:tcPr>
          <w:p w14:paraId="1AC76B96" w14:textId="77777777" w:rsidR="007735E2" w:rsidRPr="00D23019" w:rsidRDefault="007735E2" w:rsidP="002E30E7">
            <w:pPr>
              <w:pStyle w:val="Table-bodytext"/>
              <w:rPr>
                <w:b w:val="0"/>
                <w:szCs w:val="24"/>
              </w:rPr>
            </w:pPr>
            <w:r w:rsidRPr="00D23019">
              <w:rPr>
                <w:b w:val="0"/>
                <w:szCs w:val="24"/>
              </w:rPr>
              <w:t>ODA</w:t>
            </w:r>
          </w:p>
        </w:tc>
        <w:tc>
          <w:tcPr>
            <w:tcW w:w="6147" w:type="dxa"/>
          </w:tcPr>
          <w:p w14:paraId="6F770972" w14:textId="77777777" w:rsidR="007735E2" w:rsidRPr="00D23019" w:rsidRDefault="007735E2" w:rsidP="002E30E7">
            <w:pPr>
              <w:pStyle w:val="Table-bodytext"/>
              <w:rPr>
                <w:b w:val="0"/>
                <w:szCs w:val="24"/>
              </w:rPr>
            </w:pPr>
            <w:r w:rsidRPr="00D23019">
              <w:rPr>
                <w:b w:val="0"/>
                <w:szCs w:val="24"/>
              </w:rPr>
              <w:t>Official Development Assistance</w:t>
            </w:r>
          </w:p>
        </w:tc>
      </w:tr>
      <w:tr w:rsidR="007735E2" w:rsidRPr="003A432C" w14:paraId="187C8CB8" w14:textId="77777777" w:rsidTr="0070627B">
        <w:tc>
          <w:tcPr>
            <w:tcW w:w="3369" w:type="dxa"/>
          </w:tcPr>
          <w:p w14:paraId="04FB62CF" w14:textId="77777777" w:rsidR="007735E2" w:rsidRPr="00D23019" w:rsidRDefault="007735E2" w:rsidP="002E30E7">
            <w:pPr>
              <w:pStyle w:val="Table-bodytext"/>
              <w:rPr>
                <w:b w:val="0"/>
                <w:szCs w:val="24"/>
              </w:rPr>
            </w:pPr>
            <w:r w:rsidRPr="00D23019">
              <w:rPr>
                <w:b w:val="0"/>
                <w:szCs w:val="24"/>
              </w:rPr>
              <w:t>ODI</w:t>
            </w:r>
          </w:p>
        </w:tc>
        <w:tc>
          <w:tcPr>
            <w:tcW w:w="6147" w:type="dxa"/>
          </w:tcPr>
          <w:p w14:paraId="3B0A62C9" w14:textId="77777777" w:rsidR="007735E2" w:rsidRPr="00D23019" w:rsidRDefault="007735E2" w:rsidP="002E30E7">
            <w:pPr>
              <w:pStyle w:val="Table-bodytext"/>
              <w:rPr>
                <w:b w:val="0"/>
                <w:szCs w:val="24"/>
              </w:rPr>
            </w:pPr>
            <w:r w:rsidRPr="00D23019">
              <w:rPr>
                <w:b w:val="0"/>
                <w:szCs w:val="24"/>
              </w:rPr>
              <w:t>Overseas Development Institute</w:t>
            </w:r>
          </w:p>
        </w:tc>
      </w:tr>
      <w:tr w:rsidR="007735E2" w:rsidRPr="003A432C" w14:paraId="703A4958" w14:textId="77777777" w:rsidTr="0070627B">
        <w:tc>
          <w:tcPr>
            <w:tcW w:w="3369" w:type="dxa"/>
          </w:tcPr>
          <w:p w14:paraId="7D2F1E32" w14:textId="77777777" w:rsidR="007735E2" w:rsidRPr="00D23019" w:rsidRDefault="007735E2" w:rsidP="002E30E7">
            <w:pPr>
              <w:pStyle w:val="Table-bodytext"/>
              <w:rPr>
                <w:b w:val="0"/>
                <w:szCs w:val="24"/>
              </w:rPr>
            </w:pPr>
            <w:r w:rsidRPr="00D23019">
              <w:rPr>
                <w:b w:val="0"/>
                <w:szCs w:val="24"/>
              </w:rPr>
              <w:t>OECD</w:t>
            </w:r>
          </w:p>
        </w:tc>
        <w:tc>
          <w:tcPr>
            <w:tcW w:w="6147" w:type="dxa"/>
          </w:tcPr>
          <w:p w14:paraId="13A65C94" w14:textId="77777777" w:rsidR="007735E2" w:rsidRPr="00D23019" w:rsidRDefault="007735E2" w:rsidP="002E30E7">
            <w:pPr>
              <w:pStyle w:val="Table-bodytext"/>
              <w:rPr>
                <w:b w:val="0"/>
                <w:szCs w:val="24"/>
              </w:rPr>
            </w:pPr>
            <w:r w:rsidRPr="00D23019">
              <w:rPr>
                <w:b w:val="0"/>
                <w:szCs w:val="24"/>
              </w:rPr>
              <w:t>Organisation for Economic Cooperation and Development</w:t>
            </w:r>
          </w:p>
        </w:tc>
      </w:tr>
      <w:tr w:rsidR="007735E2" w:rsidRPr="003A432C" w14:paraId="7A48A301" w14:textId="77777777" w:rsidTr="0070627B">
        <w:tc>
          <w:tcPr>
            <w:tcW w:w="3369" w:type="dxa"/>
          </w:tcPr>
          <w:p w14:paraId="071C9BED" w14:textId="77777777" w:rsidR="007735E2" w:rsidRPr="00D23019" w:rsidRDefault="007735E2" w:rsidP="002E30E7">
            <w:pPr>
              <w:pStyle w:val="Table-bodytext"/>
              <w:rPr>
                <w:b w:val="0"/>
                <w:szCs w:val="24"/>
              </w:rPr>
            </w:pPr>
            <w:r w:rsidRPr="00D23019">
              <w:rPr>
                <w:b w:val="0"/>
                <w:szCs w:val="24"/>
              </w:rPr>
              <w:t>PMO</w:t>
            </w:r>
          </w:p>
        </w:tc>
        <w:tc>
          <w:tcPr>
            <w:tcW w:w="6147" w:type="dxa"/>
          </w:tcPr>
          <w:p w14:paraId="6F967663" w14:textId="77777777" w:rsidR="007735E2" w:rsidRPr="00D23019" w:rsidRDefault="007735E2" w:rsidP="002E30E7">
            <w:pPr>
              <w:pStyle w:val="Table-bodytext"/>
              <w:rPr>
                <w:b w:val="0"/>
                <w:szCs w:val="24"/>
              </w:rPr>
            </w:pPr>
            <w:r w:rsidRPr="00D23019">
              <w:rPr>
                <w:b w:val="0"/>
                <w:szCs w:val="24"/>
              </w:rPr>
              <w:t>Programme Management Office</w:t>
            </w:r>
          </w:p>
        </w:tc>
      </w:tr>
      <w:tr w:rsidR="007735E2" w:rsidRPr="003A432C" w14:paraId="73174DA8" w14:textId="77777777" w:rsidTr="0070627B">
        <w:tc>
          <w:tcPr>
            <w:tcW w:w="3369" w:type="dxa"/>
          </w:tcPr>
          <w:p w14:paraId="4FA2650F" w14:textId="77777777" w:rsidR="007735E2" w:rsidRPr="00D23019" w:rsidRDefault="007735E2" w:rsidP="002E30E7">
            <w:pPr>
              <w:pStyle w:val="Table-bodytext"/>
              <w:rPr>
                <w:b w:val="0"/>
                <w:szCs w:val="24"/>
              </w:rPr>
            </w:pPr>
            <w:r w:rsidRPr="00D23019">
              <w:rPr>
                <w:b w:val="0"/>
                <w:szCs w:val="24"/>
              </w:rPr>
              <w:t>RAG rating</w:t>
            </w:r>
          </w:p>
        </w:tc>
        <w:tc>
          <w:tcPr>
            <w:tcW w:w="6147" w:type="dxa"/>
          </w:tcPr>
          <w:p w14:paraId="240BC87E" w14:textId="77777777" w:rsidR="007735E2" w:rsidRPr="00D23019" w:rsidRDefault="007735E2" w:rsidP="002E30E7">
            <w:pPr>
              <w:pStyle w:val="Table-bodytext"/>
              <w:rPr>
                <w:b w:val="0"/>
                <w:szCs w:val="24"/>
              </w:rPr>
            </w:pPr>
            <w:r w:rsidRPr="00D23019">
              <w:rPr>
                <w:b w:val="0"/>
                <w:szCs w:val="24"/>
              </w:rPr>
              <w:t>Red, Amber, Green rating</w:t>
            </w:r>
          </w:p>
        </w:tc>
      </w:tr>
      <w:tr w:rsidR="007735E2" w:rsidRPr="003A432C" w14:paraId="0B86EA21" w14:textId="77777777" w:rsidTr="0070627B">
        <w:tc>
          <w:tcPr>
            <w:tcW w:w="3369" w:type="dxa"/>
          </w:tcPr>
          <w:p w14:paraId="600B1599" w14:textId="77777777" w:rsidR="007735E2" w:rsidRPr="00D23019" w:rsidRDefault="007735E2" w:rsidP="002E30E7">
            <w:pPr>
              <w:pStyle w:val="Table-bodytext"/>
              <w:rPr>
                <w:b w:val="0"/>
                <w:szCs w:val="24"/>
              </w:rPr>
            </w:pPr>
            <w:r w:rsidRPr="00D23019">
              <w:rPr>
                <w:b w:val="0"/>
                <w:szCs w:val="24"/>
              </w:rPr>
              <w:t>SF Medicines</w:t>
            </w:r>
          </w:p>
        </w:tc>
        <w:tc>
          <w:tcPr>
            <w:tcW w:w="6147" w:type="dxa"/>
          </w:tcPr>
          <w:p w14:paraId="24487A42" w14:textId="77777777" w:rsidR="007735E2" w:rsidRPr="00D23019" w:rsidRDefault="007735E2" w:rsidP="002E30E7">
            <w:pPr>
              <w:pStyle w:val="Table-bodytext"/>
              <w:rPr>
                <w:b w:val="0"/>
                <w:szCs w:val="24"/>
              </w:rPr>
            </w:pPr>
            <w:r w:rsidRPr="00D23019">
              <w:rPr>
                <w:b w:val="0"/>
                <w:szCs w:val="24"/>
              </w:rPr>
              <w:t>Substandard and Falsified Medicines</w:t>
            </w:r>
          </w:p>
        </w:tc>
      </w:tr>
      <w:tr w:rsidR="007735E2" w:rsidRPr="003A432C" w14:paraId="6E7D3CB0" w14:textId="77777777" w:rsidTr="0070627B">
        <w:tc>
          <w:tcPr>
            <w:tcW w:w="3369" w:type="dxa"/>
          </w:tcPr>
          <w:p w14:paraId="51D0B7A6" w14:textId="77777777" w:rsidR="007735E2" w:rsidRPr="00D23019" w:rsidRDefault="007735E2" w:rsidP="002E30E7">
            <w:pPr>
              <w:pStyle w:val="Table-bodytext"/>
              <w:rPr>
                <w:b w:val="0"/>
                <w:szCs w:val="24"/>
              </w:rPr>
            </w:pPr>
            <w:r w:rsidRPr="00D23019">
              <w:rPr>
                <w:b w:val="0"/>
                <w:szCs w:val="24"/>
              </w:rPr>
              <w:t>TAG</w:t>
            </w:r>
          </w:p>
        </w:tc>
        <w:tc>
          <w:tcPr>
            <w:tcW w:w="6147" w:type="dxa"/>
          </w:tcPr>
          <w:p w14:paraId="4F2235F8" w14:textId="77777777" w:rsidR="007735E2" w:rsidRPr="00D23019" w:rsidRDefault="007735E2" w:rsidP="002E30E7">
            <w:pPr>
              <w:pStyle w:val="Table-bodytext"/>
              <w:rPr>
                <w:b w:val="0"/>
                <w:szCs w:val="24"/>
              </w:rPr>
            </w:pPr>
            <w:r w:rsidRPr="00D23019">
              <w:rPr>
                <w:b w:val="0"/>
                <w:szCs w:val="24"/>
              </w:rPr>
              <w:t>Technical Advisory Group</w:t>
            </w:r>
          </w:p>
        </w:tc>
      </w:tr>
      <w:tr w:rsidR="007735E2" w:rsidRPr="003A432C" w14:paraId="76ACD5F6" w14:textId="77777777" w:rsidTr="0070627B">
        <w:tc>
          <w:tcPr>
            <w:tcW w:w="3369" w:type="dxa"/>
          </w:tcPr>
          <w:p w14:paraId="558E24B9" w14:textId="77777777" w:rsidR="007735E2" w:rsidRPr="00D23019" w:rsidRDefault="007735E2" w:rsidP="002E30E7">
            <w:pPr>
              <w:pStyle w:val="Table-bodytext"/>
              <w:rPr>
                <w:b w:val="0"/>
                <w:szCs w:val="24"/>
              </w:rPr>
            </w:pPr>
            <w:r w:rsidRPr="00D23019">
              <w:rPr>
                <w:b w:val="0"/>
                <w:szCs w:val="24"/>
              </w:rPr>
              <w:t>ToC</w:t>
            </w:r>
          </w:p>
        </w:tc>
        <w:tc>
          <w:tcPr>
            <w:tcW w:w="6147" w:type="dxa"/>
          </w:tcPr>
          <w:p w14:paraId="49239F8E" w14:textId="77777777" w:rsidR="007735E2" w:rsidRPr="00D23019" w:rsidRDefault="007735E2" w:rsidP="002E30E7">
            <w:pPr>
              <w:pStyle w:val="Table-bodytext"/>
              <w:rPr>
                <w:b w:val="0"/>
                <w:szCs w:val="24"/>
              </w:rPr>
            </w:pPr>
            <w:r w:rsidRPr="00D23019">
              <w:rPr>
                <w:b w:val="0"/>
                <w:szCs w:val="24"/>
              </w:rPr>
              <w:t>Theory of Change</w:t>
            </w:r>
          </w:p>
        </w:tc>
      </w:tr>
      <w:tr w:rsidR="007735E2" w:rsidRPr="003A432C" w14:paraId="1F544278" w14:textId="77777777" w:rsidTr="0070627B">
        <w:tc>
          <w:tcPr>
            <w:tcW w:w="3369" w:type="dxa"/>
          </w:tcPr>
          <w:p w14:paraId="5F99343A" w14:textId="77777777" w:rsidR="007735E2" w:rsidRPr="00D23019" w:rsidRDefault="007735E2" w:rsidP="002E30E7">
            <w:pPr>
              <w:pStyle w:val="Table-bodytext"/>
              <w:rPr>
                <w:b w:val="0"/>
                <w:szCs w:val="24"/>
              </w:rPr>
            </w:pPr>
            <w:r w:rsidRPr="00D23019">
              <w:rPr>
                <w:b w:val="0"/>
                <w:szCs w:val="24"/>
              </w:rPr>
              <w:t>VfM</w:t>
            </w:r>
          </w:p>
        </w:tc>
        <w:tc>
          <w:tcPr>
            <w:tcW w:w="6147" w:type="dxa"/>
          </w:tcPr>
          <w:p w14:paraId="13758AA3" w14:textId="77777777" w:rsidR="007735E2" w:rsidRPr="00D23019" w:rsidRDefault="007735E2" w:rsidP="002E30E7">
            <w:pPr>
              <w:pStyle w:val="Table-bodytext"/>
              <w:rPr>
                <w:b w:val="0"/>
                <w:szCs w:val="24"/>
              </w:rPr>
            </w:pPr>
            <w:r w:rsidRPr="00D23019">
              <w:rPr>
                <w:b w:val="0"/>
                <w:szCs w:val="24"/>
              </w:rPr>
              <w:t>Value for Money</w:t>
            </w:r>
          </w:p>
        </w:tc>
      </w:tr>
      <w:tr w:rsidR="007735E2" w:rsidRPr="003A432C" w14:paraId="00EAE09A" w14:textId="77777777" w:rsidTr="0070627B">
        <w:tc>
          <w:tcPr>
            <w:tcW w:w="3369" w:type="dxa"/>
          </w:tcPr>
          <w:p w14:paraId="7E86B25B" w14:textId="77777777" w:rsidR="007735E2" w:rsidRPr="00D23019" w:rsidRDefault="007735E2" w:rsidP="002E30E7">
            <w:pPr>
              <w:pStyle w:val="Table-bodytext"/>
              <w:rPr>
                <w:b w:val="0"/>
                <w:szCs w:val="24"/>
              </w:rPr>
            </w:pPr>
            <w:r w:rsidRPr="00D23019">
              <w:rPr>
                <w:b w:val="0"/>
                <w:szCs w:val="24"/>
              </w:rPr>
              <w:t>WHO</w:t>
            </w:r>
          </w:p>
        </w:tc>
        <w:tc>
          <w:tcPr>
            <w:tcW w:w="6147" w:type="dxa"/>
          </w:tcPr>
          <w:p w14:paraId="1075592E" w14:textId="77777777" w:rsidR="007735E2" w:rsidRPr="00D23019" w:rsidRDefault="007735E2" w:rsidP="002E30E7">
            <w:pPr>
              <w:pStyle w:val="Table-bodytext"/>
              <w:rPr>
                <w:b w:val="0"/>
                <w:szCs w:val="24"/>
              </w:rPr>
            </w:pPr>
            <w:r w:rsidRPr="00D23019">
              <w:rPr>
                <w:b w:val="0"/>
                <w:szCs w:val="24"/>
              </w:rPr>
              <w:t>World Health Organization</w:t>
            </w:r>
          </w:p>
        </w:tc>
      </w:tr>
      <w:tr w:rsidR="007735E2" w:rsidRPr="003A432C" w14:paraId="788CC6EF" w14:textId="77777777" w:rsidTr="0070627B">
        <w:tc>
          <w:tcPr>
            <w:tcW w:w="3369" w:type="dxa"/>
          </w:tcPr>
          <w:p w14:paraId="4DB731D6" w14:textId="77777777" w:rsidR="007735E2" w:rsidRPr="00D23019" w:rsidRDefault="007735E2" w:rsidP="002E30E7">
            <w:pPr>
              <w:pStyle w:val="Table-bodytext"/>
              <w:rPr>
                <w:b w:val="0"/>
                <w:szCs w:val="24"/>
              </w:rPr>
            </w:pPr>
            <w:r w:rsidRPr="00D23019">
              <w:rPr>
                <w:b w:val="0"/>
                <w:szCs w:val="24"/>
              </w:rPr>
              <w:t>WOAH</w:t>
            </w:r>
          </w:p>
        </w:tc>
        <w:tc>
          <w:tcPr>
            <w:tcW w:w="6147" w:type="dxa"/>
          </w:tcPr>
          <w:p w14:paraId="07FFB9EF" w14:textId="048814B6" w:rsidR="007735E2" w:rsidRPr="00D23019" w:rsidRDefault="007735E2" w:rsidP="002E30E7">
            <w:pPr>
              <w:pStyle w:val="Table-bodytext"/>
              <w:rPr>
                <w:b w:val="0"/>
                <w:szCs w:val="24"/>
              </w:rPr>
            </w:pPr>
            <w:r w:rsidRPr="00D23019">
              <w:rPr>
                <w:b w:val="0"/>
                <w:szCs w:val="24"/>
              </w:rPr>
              <w:t>World Organisation for Animal Health</w:t>
            </w:r>
            <w:r w:rsidR="00FA7688" w:rsidRPr="00D23019">
              <w:rPr>
                <w:b w:val="0"/>
                <w:szCs w:val="24"/>
              </w:rPr>
              <w:t xml:space="preserve"> (previously OIE)</w:t>
            </w:r>
          </w:p>
        </w:tc>
      </w:tr>
    </w:tbl>
    <w:p w14:paraId="180291BB" w14:textId="10EB3446" w:rsidR="00ED2730" w:rsidRPr="005F3743" w:rsidRDefault="008F3D85" w:rsidP="00870C7B">
      <w:pPr>
        <w:pStyle w:val="Heading2"/>
      </w:pPr>
      <w:r>
        <w:t xml:space="preserve">1. </w:t>
      </w:r>
      <w:r w:rsidR="00BA7E51">
        <w:t xml:space="preserve">Summary and overview </w:t>
      </w:r>
    </w:p>
    <w:p w14:paraId="359D6237" w14:textId="5503CCBE" w:rsidR="00B91F9A" w:rsidRPr="00BA7E51" w:rsidRDefault="00BA7E51" w:rsidP="00BA7E51">
      <w:pPr>
        <w:pStyle w:val="ParagraphText-unnumbered"/>
        <w:rPr>
          <w:rStyle w:val="Bold"/>
        </w:rPr>
      </w:pPr>
      <w:r w:rsidRPr="00BA7E51">
        <w:rPr>
          <w:rStyle w:val="Bold"/>
        </w:rPr>
        <w:t>Project Title:</w:t>
      </w:r>
      <w:r w:rsidR="00984E5A">
        <w:rPr>
          <w:rStyle w:val="Bold"/>
        </w:rPr>
        <w:t xml:space="preserve"> Fleming Fund Annual Review</w:t>
      </w:r>
    </w:p>
    <w:p w14:paraId="71CDA30E" w14:textId="62137BFC" w:rsidR="00BA7E51" w:rsidRDefault="00BA7E51" w:rsidP="00BA7E51">
      <w:pPr>
        <w:pStyle w:val="ParagraphText-unnumbered"/>
      </w:pPr>
      <w:r w:rsidRPr="00BA7E51">
        <w:rPr>
          <w:rStyle w:val="Bold"/>
        </w:rPr>
        <w:t>Project Value</w:t>
      </w:r>
      <w:r w:rsidR="00C00C36">
        <w:t xml:space="preserve">: </w:t>
      </w:r>
      <w:r w:rsidRPr="003F7C56">
        <w:t>£</w:t>
      </w:r>
      <w:r w:rsidR="00C00C36" w:rsidRPr="003F7C56">
        <w:t>265</w:t>
      </w:r>
      <w:r w:rsidR="00CA0A54" w:rsidRPr="003F7C56">
        <w:t>m</w:t>
      </w:r>
      <w:r w:rsidR="00C00C36">
        <w:t xml:space="preserve"> (phase 1</w:t>
      </w:r>
      <w:r w:rsidR="00EC7A1D">
        <w:t>: 2017</w:t>
      </w:r>
      <w:r w:rsidR="00EC7A1D" w:rsidRPr="00EC7A1D">
        <w:t>–</w:t>
      </w:r>
      <w:r w:rsidR="00EC7A1D">
        <w:t>2021</w:t>
      </w:r>
      <w:r w:rsidR="00C00C36">
        <w:t>), £210m (phase 2</w:t>
      </w:r>
      <w:r w:rsidR="00EC7A1D">
        <w:t xml:space="preserve">: 2022–2025) </w:t>
      </w:r>
    </w:p>
    <w:p w14:paraId="78F5506F" w14:textId="59A40551" w:rsidR="00BA7E51" w:rsidRPr="00BA7E51" w:rsidRDefault="00BA7E51" w:rsidP="00BA7E51">
      <w:pPr>
        <w:pStyle w:val="ParagraphText-unnumbered"/>
        <w:rPr>
          <w:rStyle w:val="Bold"/>
        </w:rPr>
      </w:pPr>
      <w:r w:rsidRPr="00BA7E51">
        <w:rPr>
          <w:rStyle w:val="Bold"/>
        </w:rPr>
        <w:t>Review period:</w:t>
      </w:r>
      <w:r w:rsidR="00F60A9C">
        <w:rPr>
          <w:rStyle w:val="Bold"/>
        </w:rPr>
        <w:t xml:space="preserve"> January 2021</w:t>
      </w:r>
      <w:r w:rsidR="006676AB">
        <w:rPr>
          <w:rStyle w:val="Bold"/>
        </w:rPr>
        <w:t xml:space="preserve"> to December 2021</w:t>
      </w:r>
    </w:p>
    <w:p w14:paraId="761BB85E" w14:textId="0D68E8BA" w:rsidR="00BA7E51" w:rsidRPr="00BA7E51" w:rsidRDefault="00BA7E51" w:rsidP="00BA7E51">
      <w:pPr>
        <w:pStyle w:val="ParagraphText-unnumbered"/>
        <w:rPr>
          <w:rStyle w:val="Bold"/>
        </w:rPr>
      </w:pPr>
      <w:r w:rsidRPr="00BA7E51">
        <w:rPr>
          <w:rStyle w:val="Bold"/>
        </w:rPr>
        <w:t>Project Start Date</w:t>
      </w:r>
      <w:r w:rsidR="00577A51">
        <w:rPr>
          <w:rStyle w:val="Bold"/>
        </w:rPr>
        <w:t>: 2016</w:t>
      </w:r>
    </w:p>
    <w:p w14:paraId="207CECB4" w14:textId="34D26CF0" w:rsidR="00BA7E51" w:rsidRDefault="00BA7E51" w:rsidP="00BA7E51">
      <w:pPr>
        <w:pStyle w:val="ParagraphText-unnumbered"/>
        <w:rPr>
          <w:rStyle w:val="Bold"/>
        </w:rPr>
      </w:pPr>
      <w:r w:rsidRPr="00BA7E51">
        <w:rPr>
          <w:rStyle w:val="Bold"/>
        </w:rPr>
        <w:t>Projec</w:t>
      </w:r>
      <w:r>
        <w:rPr>
          <w:rStyle w:val="Bold"/>
        </w:rPr>
        <w:t>t</w:t>
      </w:r>
      <w:r w:rsidRPr="00BA7E51">
        <w:rPr>
          <w:rStyle w:val="Bold"/>
        </w:rPr>
        <w:t xml:space="preserve"> End Date: </w:t>
      </w:r>
      <w:r w:rsidR="00577A51">
        <w:rPr>
          <w:rStyle w:val="Bold"/>
        </w:rPr>
        <w:t>2025</w:t>
      </w:r>
    </w:p>
    <w:p w14:paraId="025BE449" w14:textId="4CA9FA56" w:rsidR="00BA7E51" w:rsidRDefault="00BA7E51" w:rsidP="00BA7E51">
      <w:pPr>
        <w:pStyle w:val="ParagraphText-unnumbered"/>
        <w:rPr>
          <w:rStyle w:val="Bold"/>
        </w:rPr>
      </w:pPr>
      <w:r>
        <w:rPr>
          <w:rStyle w:val="Bold"/>
        </w:rPr>
        <w:t>Summary of P</w:t>
      </w:r>
      <w:r w:rsidR="009C3CCA">
        <w:rPr>
          <w:rStyle w:val="Bold"/>
        </w:rPr>
        <w:t>roject</w:t>
      </w:r>
      <w:r>
        <w:rPr>
          <w:rStyle w:val="Bold"/>
        </w:rPr>
        <w:t xml:space="preserve"> Performance</w:t>
      </w:r>
      <w:r w:rsidR="00C06E9F">
        <w:rPr>
          <w:rStyle w:val="FootnoteReference"/>
          <w:b/>
        </w:rPr>
        <w:footnoteReference w:id="2"/>
      </w:r>
    </w:p>
    <w:tbl>
      <w:tblPr>
        <w:tblStyle w:val="DHSCtable"/>
        <w:tblW w:w="0" w:type="auto"/>
        <w:tblLayout w:type="fixed"/>
        <w:tblLook w:val="0600" w:firstRow="0" w:lastRow="0" w:firstColumn="0" w:lastColumn="0" w:noHBand="1" w:noVBand="1"/>
      </w:tblPr>
      <w:tblGrid>
        <w:gridCol w:w="1955"/>
        <w:gridCol w:w="1957"/>
        <w:gridCol w:w="1957"/>
        <w:gridCol w:w="1812"/>
        <w:gridCol w:w="1957"/>
      </w:tblGrid>
      <w:tr w:rsidR="00577A51" w14:paraId="0F1ADEC0" w14:textId="77777777" w:rsidTr="000C6069">
        <w:trPr>
          <w:trHeight w:val="56"/>
        </w:trPr>
        <w:tc>
          <w:tcPr>
            <w:tcW w:w="1955" w:type="dxa"/>
          </w:tcPr>
          <w:p w14:paraId="66605E01" w14:textId="0DDE8FD1" w:rsidR="00577A51" w:rsidRDefault="00577A51" w:rsidP="00112F03">
            <w:pPr>
              <w:pStyle w:val="ParagraphText-unnumbered"/>
              <w:spacing w:after="0"/>
              <w:rPr>
                <w:rStyle w:val="Bold"/>
              </w:rPr>
            </w:pPr>
            <w:r>
              <w:rPr>
                <w:rStyle w:val="Bold"/>
              </w:rPr>
              <w:t>Year</w:t>
            </w:r>
          </w:p>
        </w:tc>
        <w:tc>
          <w:tcPr>
            <w:tcW w:w="1957" w:type="dxa"/>
          </w:tcPr>
          <w:p w14:paraId="1A033F61" w14:textId="1E4DEB8D" w:rsidR="00577A51" w:rsidRDefault="00577A51" w:rsidP="00112F03">
            <w:pPr>
              <w:pStyle w:val="ParagraphText-unnumbered"/>
              <w:spacing w:after="0"/>
              <w:rPr>
                <w:rStyle w:val="Bold"/>
              </w:rPr>
            </w:pPr>
            <w:r>
              <w:rPr>
                <w:rStyle w:val="Bold"/>
              </w:rPr>
              <w:t>2018</w:t>
            </w:r>
          </w:p>
        </w:tc>
        <w:tc>
          <w:tcPr>
            <w:tcW w:w="1957" w:type="dxa"/>
          </w:tcPr>
          <w:p w14:paraId="09A33F1D" w14:textId="530DDBC6" w:rsidR="00577A51" w:rsidRDefault="00577A51" w:rsidP="00112F03">
            <w:pPr>
              <w:pStyle w:val="ParagraphText-unnumbered"/>
              <w:spacing w:after="0"/>
              <w:rPr>
                <w:rStyle w:val="Bold"/>
              </w:rPr>
            </w:pPr>
            <w:r>
              <w:rPr>
                <w:rStyle w:val="Bold"/>
              </w:rPr>
              <w:t>2019</w:t>
            </w:r>
          </w:p>
        </w:tc>
        <w:tc>
          <w:tcPr>
            <w:tcW w:w="1812" w:type="dxa"/>
          </w:tcPr>
          <w:p w14:paraId="5C8F0014" w14:textId="3C609B42" w:rsidR="00577A51" w:rsidRDefault="00577A51" w:rsidP="00112F03">
            <w:pPr>
              <w:pStyle w:val="ParagraphText-unnumbered"/>
              <w:spacing w:after="0"/>
              <w:rPr>
                <w:rStyle w:val="Bold"/>
              </w:rPr>
            </w:pPr>
            <w:r>
              <w:rPr>
                <w:rStyle w:val="Bold"/>
              </w:rPr>
              <w:t>2020</w:t>
            </w:r>
          </w:p>
        </w:tc>
        <w:tc>
          <w:tcPr>
            <w:tcW w:w="1957" w:type="dxa"/>
          </w:tcPr>
          <w:p w14:paraId="56B8EAF7" w14:textId="63FB5BF0" w:rsidR="00577A51" w:rsidRDefault="00577A51" w:rsidP="00112F03">
            <w:pPr>
              <w:pStyle w:val="ParagraphText-unnumbered"/>
              <w:spacing w:after="0"/>
              <w:rPr>
                <w:rStyle w:val="Bold"/>
              </w:rPr>
            </w:pPr>
            <w:r>
              <w:rPr>
                <w:rStyle w:val="Bold"/>
              </w:rPr>
              <w:t>2021</w:t>
            </w:r>
          </w:p>
        </w:tc>
      </w:tr>
      <w:tr w:rsidR="00577A51" w14:paraId="00462713" w14:textId="77777777" w:rsidTr="00112F03">
        <w:trPr>
          <w:trHeight w:val="635"/>
        </w:trPr>
        <w:tc>
          <w:tcPr>
            <w:tcW w:w="1955" w:type="dxa"/>
          </w:tcPr>
          <w:p w14:paraId="14E01723" w14:textId="3F69DB36" w:rsidR="00577A51" w:rsidRDefault="00175D4F" w:rsidP="00112F03">
            <w:pPr>
              <w:pStyle w:val="ParagraphText-unnumbered"/>
              <w:spacing w:after="0"/>
              <w:rPr>
                <w:rStyle w:val="Bold"/>
              </w:rPr>
            </w:pPr>
            <w:r>
              <w:rPr>
                <w:rStyle w:val="Bold"/>
              </w:rPr>
              <w:t>Project Score</w:t>
            </w:r>
          </w:p>
        </w:tc>
        <w:tc>
          <w:tcPr>
            <w:tcW w:w="1957" w:type="dxa"/>
          </w:tcPr>
          <w:p w14:paraId="73E453B5" w14:textId="0D9427B2" w:rsidR="00577A51" w:rsidRDefault="00D334F6" w:rsidP="00112F03">
            <w:pPr>
              <w:pStyle w:val="ParagraphText-unnumbered"/>
              <w:spacing w:after="0"/>
              <w:rPr>
                <w:rStyle w:val="Bold"/>
              </w:rPr>
            </w:pPr>
            <w:r>
              <w:rPr>
                <w:rStyle w:val="Bold"/>
              </w:rPr>
              <w:t>Amber/Green</w:t>
            </w:r>
          </w:p>
        </w:tc>
        <w:tc>
          <w:tcPr>
            <w:tcW w:w="1957" w:type="dxa"/>
          </w:tcPr>
          <w:p w14:paraId="196C3739" w14:textId="32CC7BDB" w:rsidR="00577A51" w:rsidRDefault="00175D4F" w:rsidP="00112F03">
            <w:pPr>
              <w:pStyle w:val="ParagraphText-unnumbered"/>
              <w:spacing w:after="0"/>
              <w:rPr>
                <w:rStyle w:val="Bold"/>
              </w:rPr>
            </w:pPr>
            <w:r>
              <w:rPr>
                <w:rStyle w:val="Bold"/>
              </w:rPr>
              <w:t>A</w:t>
            </w:r>
          </w:p>
        </w:tc>
        <w:tc>
          <w:tcPr>
            <w:tcW w:w="1812" w:type="dxa"/>
          </w:tcPr>
          <w:p w14:paraId="4A8C6BEE" w14:textId="0F15C5A2" w:rsidR="00577A51" w:rsidRDefault="00175D4F" w:rsidP="00112F03">
            <w:pPr>
              <w:pStyle w:val="ParagraphText-unnumbered"/>
              <w:spacing w:after="0"/>
              <w:rPr>
                <w:rStyle w:val="Bold"/>
              </w:rPr>
            </w:pPr>
            <w:r>
              <w:rPr>
                <w:rStyle w:val="Bold"/>
              </w:rPr>
              <w:t>A</w:t>
            </w:r>
          </w:p>
        </w:tc>
        <w:tc>
          <w:tcPr>
            <w:tcW w:w="1957" w:type="dxa"/>
          </w:tcPr>
          <w:p w14:paraId="678F51E8" w14:textId="7F801AD9" w:rsidR="00577A51" w:rsidRDefault="005B4237" w:rsidP="00112F03">
            <w:pPr>
              <w:pStyle w:val="ParagraphText-unnumbered"/>
              <w:spacing w:after="0"/>
              <w:rPr>
                <w:rStyle w:val="Bold"/>
              </w:rPr>
            </w:pPr>
            <w:r>
              <w:rPr>
                <w:rStyle w:val="Bold"/>
              </w:rPr>
              <w:t>A</w:t>
            </w:r>
          </w:p>
        </w:tc>
      </w:tr>
      <w:tr w:rsidR="00175D4F" w14:paraId="5ADA10B2" w14:textId="77777777" w:rsidTr="000C6069">
        <w:tc>
          <w:tcPr>
            <w:tcW w:w="1955" w:type="dxa"/>
          </w:tcPr>
          <w:p w14:paraId="145DB68A" w14:textId="04240B16" w:rsidR="00175D4F" w:rsidRDefault="00175D4F" w:rsidP="00112F03">
            <w:pPr>
              <w:pStyle w:val="ParagraphText-unnumbered"/>
              <w:spacing w:after="0"/>
              <w:rPr>
                <w:rStyle w:val="Bold"/>
              </w:rPr>
            </w:pPr>
            <w:r>
              <w:rPr>
                <w:rStyle w:val="Bold"/>
              </w:rPr>
              <w:t>Risk Rating</w:t>
            </w:r>
          </w:p>
        </w:tc>
        <w:tc>
          <w:tcPr>
            <w:tcW w:w="1957" w:type="dxa"/>
          </w:tcPr>
          <w:p w14:paraId="6A308740" w14:textId="3E3CB497" w:rsidR="00175D4F" w:rsidRDefault="00EC6ECC" w:rsidP="00112F03">
            <w:pPr>
              <w:pStyle w:val="ParagraphText-unnumbered"/>
              <w:spacing w:after="0"/>
              <w:rPr>
                <w:rStyle w:val="Bold"/>
              </w:rPr>
            </w:pPr>
            <w:r>
              <w:rPr>
                <w:rStyle w:val="Bold"/>
              </w:rPr>
              <w:t>N/A</w:t>
            </w:r>
          </w:p>
        </w:tc>
        <w:tc>
          <w:tcPr>
            <w:tcW w:w="1957" w:type="dxa"/>
          </w:tcPr>
          <w:p w14:paraId="62C18827" w14:textId="496774BC" w:rsidR="00175D4F" w:rsidRDefault="00EC6ECC" w:rsidP="00112F03">
            <w:pPr>
              <w:pStyle w:val="ParagraphText-unnumbered"/>
              <w:spacing w:after="0"/>
              <w:rPr>
                <w:rStyle w:val="Bold"/>
              </w:rPr>
            </w:pPr>
            <w:r>
              <w:rPr>
                <w:rStyle w:val="Bold"/>
              </w:rPr>
              <w:t>N/A</w:t>
            </w:r>
          </w:p>
        </w:tc>
        <w:tc>
          <w:tcPr>
            <w:tcW w:w="1812" w:type="dxa"/>
          </w:tcPr>
          <w:p w14:paraId="35911B35" w14:textId="54F38FC3" w:rsidR="00175D4F" w:rsidRDefault="002D2849" w:rsidP="00112F03">
            <w:pPr>
              <w:pStyle w:val="ParagraphText-unnumbered"/>
              <w:spacing w:after="0"/>
              <w:rPr>
                <w:rStyle w:val="Bold"/>
              </w:rPr>
            </w:pPr>
            <w:r>
              <w:t xml:space="preserve"> </w:t>
            </w:r>
            <w:r w:rsidRPr="002D2849">
              <w:rPr>
                <w:rStyle w:val="Bold"/>
              </w:rPr>
              <w:t>N/A</w:t>
            </w:r>
          </w:p>
        </w:tc>
        <w:tc>
          <w:tcPr>
            <w:tcW w:w="1957" w:type="dxa"/>
          </w:tcPr>
          <w:p w14:paraId="1ACD8E55" w14:textId="5837C3A3" w:rsidR="00175D4F" w:rsidRDefault="0091474D" w:rsidP="00112F03">
            <w:pPr>
              <w:pStyle w:val="ParagraphText-unnumbered"/>
              <w:spacing w:after="0"/>
              <w:rPr>
                <w:rStyle w:val="Bold"/>
              </w:rPr>
            </w:pPr>
            <w:r>
              <w:rPr>
                <w:rStyle w:val="Bold"/>
              </w:rPr>
              <w:t>Amber/Red</w:t>
            </w:r>
          </w:p>
        </w:tc>
      </w:tr>
    </w:tbl>
    <w:p w14:paraId="3E41CB68" w14:textId="77777777" w:rsidR="00ED4406" w:rsidRDefault="00ED4406" w:rsidP="00ED4406">
      <w:pPr>
        <w:pStyle w:val="ParagraphText-unnumbered"/>
        <w:rPr>
          <w:rStyle w:val="Bold"/>
          <w:b w:val="0"/>
        </w:rPr>
      </w:pPr>
    </w:p>
    <w:p w14:paraId="794220DC" w14:textId="3FC1C410" w:rsidR="00534654" w:rsidRDefault="009C3CCA" w:rsidP="00870C7B">
      <w:pPr>
        <w:pStyle w:val="Heading3"/>
      </w:pPr>
      <w:r>
        <w:lastRenderedPageBreak/>
        <w:t xml:space="preserve">1.1 </w:t>
      </w:r>
      <w:r w:rsidR="00BA7E51">
        <w:t xml:space="preserve">Outline of project </w:t>
      </w:r>
    </w:p>
    <w:p w14:paraId="4F93152B" w14:textId="59A847DA" w:rsidR="00225002" w:rsidRDefault="00A8253B" w:rsidP="00BA7E51">
      <w:pPr>
        <w:pStyle w:val="ParagraphText-unnumbered"/>
      </w:pPr>
      <w:r w:rsidRPr="00A8253B">
        <w:t xml:space="preserve">The Fleming Fund is a UK </w:t>
      </w:r>
      <w:r w:rsidR="00085586">
        <w:t>Official Development Assistance (ODA)</w:t>
      </w:r>
      <w:r w:rsidRPr="00A8253B">
        <w:t xml:space="preserve"> programme managed by the Department of Health and Social Care </w:t>
      </w:r>
      <w:r w:rsidR="005952A9">
        <w:t>(DHSC)</w:t>
      </w:r>
      <w:r w:rsidRPr="00A8253B">
        <w:t xml:space="preserve"> </w:t>
      </w:r>
      <w:r w:rsidR="005952A9">
        <w:t xml:space="preserve">committed to tackling antimicrobial resistance (AMR) within DHSC’s wider Global Health Security (GHS) programme. </w:t>
      </w:r>
      <w:r w:rsidR="00316815" w:rsidRPr="00316815">
        <w:t xml:space="preserve">By 2022, the Fleming Fund will have helped </w:t>
      </w:r>
      <w:r w:rsidR="00002D1F">
        <w:t>2</w:t>
      </w:r>
      <w:r w:rsidR="00E13E45">
        <w:t>4</w:t>
      </w:r>
      <w:r w:rsidR="00316815" w:rsidRPr="00316815">
        <w:t xml:space="preserve"> low- and middle-income countries (LMICs) to establish the foundations of sustainable surveillance systems for </w:t>
      </w:r>
      <w:r w:rsidR="007652CF">
        <w:t>antimicrobial resistance, consumption (AMC)</w:t>
      </w:r>
      <w:r w:rsidR="00316815" w:rsidRPr="00316815">
        <w:t xml:space="preserve"> and usage (AMU)</w:t>
      </w:r>
      <w:r w:rsidR="00225002">
        <w:t>.</w:t>
      </w:r>
    </w:p>
    <w:p w14:paraId="78D33570" w14:textId="692795E2" w:rsidR="009C3CE0" w:rsidRDefault="7031990B" w:rsidP="00BA7E51">
      <w:pPr>
        <w:pStyle w:val="ParagraphText-unnumbered"/>
      </w:pPr>
      <w:r>
        <w:t>The</w:t>
      </w:r>
      <w:r w:rsidR="4B5F1DC9">
        <w:t xml:space="preserve"> </w:t>
      </w:r>
      <w:r>
        <w:t>majority of the Fund's work is delivered through our Management Agent (MA), Mott MacDonald</w:t>
      </w:r>
      <w:r w:rsidR="4B5F1DC9">
        <w:t xml:space="preserve"> through a portfolio of </w:t>
      </w:r>
      <w:hyperlink r:id="rId17">
        <w:r w:rsidR="4B5F1DC9" w:rsidRPr="3DD03D47">
          <w:rPr>
            <w:rStyle w:val="Hyperlink"/>
          </w:rPr>
          <w:t>country grants</w:t>
        </w:r>
      </w:hyperlink>
      <w:r w:rsidR="4B5F1DC9">
        <w:t xml:space="preserve">, </w:t>
      </w:r>
      <w:hyperlink r:id="rId18">
        <w:r w:rsidR="4B5F1DC9" w:rsidRPr="3DD03D47">
          <w:rPr>
            <w:rStyle w:val="Hyperlink"/>
          </w:rPr>
          <w:t>regional grants</w:t>
        </w:r>
      </w:hyperlink>
      <w:r w:rsidR="4B5F1DC9">
        <w:t xml:space="preserve"> and </w:t>
      </w:r>
      <w:hyperlink r:id="rId19">
        <w:r w:rsidR="4B5F1DC9" w:rsidRPr="3DD03D47">
          <w:rPr>
            <w:rStyle w:val="Hyperlink"/>
          </w:rPr>
          <w:t>fellowships</w:t>
        </w:r>
      </w:hyperlink>
      <w:r w:rsidR="4B5F1DC9">
        <w:t xml:space="preserve">. </w:t>
      </w:r>
      <w:r w:rsidR="3FD7B059">
        <w:t xml:space="preserve">The number of active </w:t>
      </w:r>
      <w:r>
        <w:t xml:space="preserve">country </w:t>
      </w:r>
      <w:r w:rsidR="3FD7B059">
        <w:t xml:space="preserve">grants was reduced to 21 in 2021 due to </w:t>
      </w:r>
      <w:r w:rsidR="6A0A2366">
        <w:t>in-country conflict</w:t>
      </w:r>
      <w:r w:rsidR="22EAFAB1">
        <w:t xml:space="preserve"> or lack of Value for Money (VfM)</w:t>
      </w:r>
      <w:r w:rsidR="6A0A2366">
        <w:t>.</w:t>
      </w:r>
      <w:r w:rsidR="4B5F1DC9">
        <w:t xml:space="preserve"> </w:t>
      </w:r>
      <w:r w:rsidR="6A0A2366">
        <w:t xml:space="preserve">The Fleming Fund </w:t>
      </w:r>
      <w:r w:rsidR="4B5F1DC9">
        <w:t>also provide</w:t>
      </w:r>
      <w:r w:rsidR="6A0A2366">
        <w:t>s</w:t>
      </w:r>
      <w:r w:rsidR="4B5F1DC9">
        <w:t xml:space="preserve"> support to a significant number of additional LMICs through </w:t>
      </w:r>
      <w:hyperlink r:id="rId20">
        <w:r w:rsidR="4B5F1DC9" w:rsidRPr="3DD03D47">
          <w:rPr>
            <w:rStyle w:val="Hyperlink"/>
          </w:rPr>
          <w:t>global projects</w:t>
        </w:r>
      </w:hyperlink>
      <w:r w:rsidR="28858ACA">
        <w:t xml:space="preserve"> thanks to</w:t>
      </w:r>
      <w:r w:rsidR="4B5F1DC9">
        <w:t xml:space="preserve"> delivery partners including the World Health Organization (WHO), Food and Agriculture Organization (FAO) and the World Organisation for Animal Health (</w:t>
      </w:r>
      <w:r w:rsidR="3922DDDA">
        <w:t>WOAH</w:t>
      </w:r>
      <w:r w:rsidR="4B5F1DC9">
        <w:t>)</w:t>
      </w:r>
      <w:r w:rsidR="247B265E">
        <w:t xml:space="preserve"> (previously OIE</w:t>
      </w:r>
      <w:r w:rsidR="4B5F1DC9">
        <w:t>)</w:t>
      </w:r>
      <w:r w:rsidR="5FF6D58E">
        <w:t>,</w:t>
      </w:r>
      <w:r w:rsidR="00986E3F">
        <w:t xml:space="preserve"> and </w:t>
      </w:r>
      <w:r w:rsidR="000B3652">
        <w:t>from 2022</w:t>
      </w:r>
      <w:r w:rsidR="00986E3F">
        <w:t xml:space="preserve"> </w:t>
      </w:r>
      <w:r w:rsidR="007641E3">
        <w:t>the United Nations Environment Programme (UNEP),</w:t>
      </w:r>
      <w:r w:rsidR="5FF6D58E">
        <w:t xml:space="preserve"> who also work together as a collaborative </w:t>
      </w:r>
      <w:r w:rsidR="007641E3">
        <w:t>Quadripartite</w:t>
      </w:r>
      <w:r w:rsidR="4B5F1DC9">
        <w:t xml:space="preserve">, </w:t>
      </w:r>
      <w:r w:rsidR="11D788ED">
        <w:t>alongside</w:t>
      </w:r>
      <w:r w:rsidR="4B5F1DC9">
        <w:t xml:space="preserve"> a </w:t>
      </w:r>
      <w:r w:rsidR="42731D3D">
        <w:t xml:space="preserve">number of other </w:t>
      </w:r>
      <w:r w:rsidR="6F429621">
        <w:t>specialist organisations working in the field of AMR</w:t>
      </w:r>
      <w:r w:rsidR="4B5F1DC9">
        <w:t>.</w:t>
      </w:r>
    </w:p>
    <w:p w14:paraId="47FE4B21" w14:textId="47BB77EF" w:rsidR="00B81054" w:rsidRDefault="00316815" w:rsidP="00BA7E51">
      <w:pPr>
        <w:pStyle w:val="ParagraphText-unnumbered"/>
      </w:pPr>
      <w:r w:rsidRPr="00316815">
        <w:t>The expected outcomes from this programme include an increase in relevant, high-quality data being shared</w:t>
      </w:r>
      <w:r w:rsidR="008E3A57">
        <w:t xml:space="preserve"> and used</w:t>
      </w:r>
      <w:r w:rsidRPr="00316815">
        <w:t xml:space="preserve"> nationally and globally. This would provide the basis for changes in policy and practice to increase the rational use of antimicrobial medicines and reduce the number of drug resistant infections. </w:t>
      </w:r>
    </w:p>
    <w:p w14:paraId="0F3A62ED" w14:textId="3F42E373" w:rsidR="00B81054" w:rsidRDefault="00316815" w:rsidP="00BA7E51">
      <w:pPr>
        <w:pStyle w:val="ParagraphText-unnumbered"/>
      </w:pPr>
      <w:r w:rsidRPr="00316815">
        <w:t>The Fund aims to improve laboratory capacity and diagnosis as well as data and surveillance of AMR at a country level through a One Health approach, covering human health, animal health</w:t>
      </w:r>
      <w:r w:rsidR="00B635D3">
        <w:t>,</w:t>
      </w:r>
      <w:r w:rsidRPr="00316815">
        <w:t xml:space="preserve"> and </w:t>
      </w:r>
      <w:r w:rsidR="00B635D3">
        <w:t>the environment</w:t>
      </w:r>
      <w:r w:rsidRPr="00316815">
        <w:t xml:space="preserve">. By supporting countries in </w:t>
      </w:r>
      <w:r w:rsidR="00E14B85">
        <w:t>West Africa, East and Southern Africa,</w:t>
      </w:r>
      <w:r w:rsidRPr="00316815">
        <w:t xml:space="preserve"> South </w:t>
      </w:r>
      <w:r w:rsidR="00E14B85">
        <w:t>Asia</w:t>
      </w:r>
      <w:r w:rsidR="00B635D3">
        <w:t>,</w:t>
      </w:r>
      <w:r w:rsidR="00E14B85">
        <w:t xml:space="preserve"> </w:t>
      </w:r>
      <w:r w:rsidRPr="00316815">
        <w:t>and South-East Asia to develop One Health AMR National Action Plans (NAPs) and implement the surveillance aspects of these, the programme supports delivery of</w:t>
      </w:r>
      <w:r w:rsidR="00441825">
        <w:t xml:space="preserve"> the</w:t>
      </w:r>
      <w:r w:rsidRPr="00316815">
        <w:t xml:space="preserve"> </w:t>
      </w:r>
      <w:hyperlink r:id="rId21" w:history="1">
        <w:r w:rsidRPr="00951AC6">
          <w:rPr>
            <w:rStyle w:val="Hyperlink"/>
          </w:rPr>
          <w:t>2015 World Health Assembly Global Action Plan objectives</w:t>
        </w:r>
      </w:hyperlink>
      <w:r w:rsidRPr="00316815">
        <w:t>,</w:t>
      </w:r>
      <w:r w:rsidR="00E246C7">
        <w:t xml:space="preserve"> </w:t>
      </w:r>
      <w:r w:rsidR="00E246C7" w:rsidRPr="00E246C7">
        <w:t xml:space="preserve">the recommendations of the </w:t>
      </w:r>
      <w:hyperlink r:id="rId22" w:history="1">
        <w:r w:rsidR="00E246C7" w:rsidRPr="00A76446">
          <w:rPr>
            <w:rStyle w:val="Hyperlink"/>
          </w:rPr>
          <w:t>UK’s 2016 O’Neill Review on AMR</w:t>
        </w:r>
      </w:hyperlink>
      <w:r w:rsidR="00E246C7">
        <w:t>,</w:t>
      </w:r>
      <w:r w:rsidR="001D672E">
        <w:t xml:space="preserve"> </w:t>
      </w:r>
      <w:r w:rsidRPr="00316815">
        <w:t xml:space="preserve">the </w:t>
      </w:r>
      <w:hyperlink r:id="rId23" w:history="1">
        <w:r w:rsidRPr="00A82C1F">
          <w:rPr>
            <w:rStyle w:val="Hyperlink"/>
          </w:rPr>
          <w:t>Inter-Agency Coordination Group on AMR recommendations</w:t>
        </w:r>
      </w:hyperlink>
      <w:r w:rsidRPr="00316815">
        <w:t xml:space="preserve">, as well as the UK’s own </w:t>
      </w:r>
      <w:hyperlink r:id="rId24" w:history="1">
        <w:r w:rsidRPr="00D324A0">
          <w:rPr>
            <w:rStyle w:val="Hyperlink"/>
          </w:rPr>
          <w:t xml:space="preserve">AMR NAP 2019 </w:t>
        </w:r>
        <w:r w:rsidR="00230CD2" w:rsidRPr="00D324A0">
          <w:rPr>
            <w:rStyle w:val="Hyperlink"/>
          </w:rPr>
          <w:t xml:space="preserve">to </w:t>
        </w:r>
        <w:r w:rsidRPr="00D324A0">
          <w:rPr>
            <w:rStyle w:val="Hyperlink"/>
          </w:rPr>
          <w:t>2024</w:t>
        </w:r>
      </w:hyperlink>
      <w:r w:rsidRPr="00316815">
        <w:t xml:space="preserve">. </w:t>
      </w:r>
    </w:p>
    <w:p w14:paraId="6E3D599E" w14:textId="77777777" w:rsidR="00CB41D9" w:rsidRDefault="00316815" w:rsidP="00BA7E51">
      <w:pPr>
        <w:pStyle w:val="ParagraphText-unnumbered"/>
      </w:pPr>
      <w:r w:rsidRPr="00316815">
        <w:t>Contributions to these key international objectives and outcomes are captured in the Theory of Change (ToC), but in particular Fleming Fund outputs contribute to the following Global Action Plan outcomes:</w:t>
      </w:r>
    </w:p>
    <w:p w14:paraId="42B748AB" w14:textId="746227A3" w:rsidR="00B81054" w:rsidRDefault="00316815" w:rsidP="00CB41D9">
      <w:pPr>
        <w:pStyle w:val="Bulletundernumberedlist"/>
      </w:pPr>
      <w:r w:rsidRPr="00316815">
        <w:t xml:space="preserve">improved awareness and understanding of AMR </w:t>
      </w:r>
    </w:p>
    <w:p w14:paraId="1A9290A0" w14:textId="77742A8B" w:rsidR="00B81054" w:rsidRDefault="00316815" w:rsidP="00CB41D9">
      <w:pPr>
        <w:pStyle w:val="Bulletundernumberedlist"/>
      </w:pPr>
      <w:r w:rsidRPr="00316815">
        <w:t xml:space="preserve">strengthened knowledge through surveillance and research </w:t>
      </w:r>
    </w:p>
    <w:p w14:paraId="6BC40064" w14:textId="5CBF3E31" w:rsidR="00B81054" w:rsidRDefault="00316815" w:rsidP="00CB41D9">
      <w:pPr>
        <w:pStyle w:val="Bulletundernumberedlist"/>
      </w:pPr>
      <w:r w:rsidRPr="00316815">
        <w:lastRenderedPageBreak/>
        <w:t xml:space="preserve">ensured sustainable investment in countering AMR </w:t>
      </w:r>
    </w:p>
    <w:p w14:paraId="67D4F5FC" w14:textId="5E62C15C" w:rsidR="00B81054" w:rsidRDefault="00316815" w:rsidP="00CB41D9">
      <w:pPr>
        <w:pStyle w:val="Bulletundernumberedlist"/>
      </w:pPr>
      <w:r w:rsidRPr="00316815">
        <w:t>optimised use of antibiotics</w:t>
      </w:r>
      <w:r w:rsidR="5C67880B">
        <w:t>.</w:t>
      </w:r>
      <w:r w:rsidRPr="00316815">
        <w:t xml:space="preserve"> </w:t>
      </w:r>
    </w:p>
    <w:p w14:paraId="32B5A5AB" w14:textId="58B798A9" w:rsidR="00154E41" w:rsidRDefault="00316815" w:rsidP="00BA7E51">
      <w:pPr>
        <w:pStyle w:val="ParagraphText-unnumbered"/>
      </w:pPr>
      <w:r w:rsidRPr="00316815">
        <w:t>The Fleming Fund also contributes to broader work on health systems strengthening in LMICs by supporting improvements to diagnosis, surveillance and use of quality health data in decision making. These actions contribute to improved health information systems</w:t>
      </w:r>
      <w:r w:rsidR="00E14B85">
        <w:t xml:space="preserve"> and</w:t>
      </w:r>
      <w:r w:rsidRPr="00316815">
        <w:t xml:space="preserve"> laboratory strengthening and help to ensure that essential antimicrobial medicines are safe and effective.</w:t>
      </w:r>
    </w:p>
    <w:p w14:paraId="4703EC86" w14:textId="5D0752AA" w:rsidR="00124EC9" w:rsidRDefault="6E672DDC" w:rsidP="3DD03D47">
      <w:pPr>
        <w:pStyle w:val="ParagraphText-unnumbered"/>
        <w:rPr>
          <w:rFonts w:eastAsiaTheme="minorEastAsia"/>
        </w:rPr>
      </w:pPr>
      <w:r>
        <w:t xml:space="preserve">This report will </w:t>
      </w:r>
      <w:r w:rsidR="3031D058">
        <w:t xml:space="preserve">provide a summary of progress and recommendations. More detail </w:t>
      </w:r>
      <w:r w:rsidR="1CD5CB11">
        <w:t xml:space="preserve">on progress over </w:t>
      </w:r>
      <w:r w:rsidR="2C345A1E">
        <w:t>phase 1</w:t>
      </w:r>
      <w:r w:rsidR="1CD5CB11">
        <w:t xml:space="preserve"> and plans for </w:t>
      </w:r>
      <w:r w:rsidR="2C345A1E">
        <w:t>phase 2</w:t>
      </w:r>
      <w:r w:rsidR="1CD5CB11">
        <w:t xml:space="preserve"> </w:t>
      </w:r>
      <w:r w:rsidR="3031D058">
        <w:t xml:space="preserve">can be found in </w:t>
      </w:r>
      <w:r w:rsidR="6969E2E3">
        <w:t xml:space="preserve">our </w:t>
      </w:r>
      <w:hyperlink r:id="rId25">
        <w:r w:rsidR="460693D7" w:rsidRPr="3DD03D47">
          <w:rPr>
            <w:rStyle w:val="Hyperlink"/>
          </w:rPr>
          <w:t>P</w:t>
        </w:r>
        <w:r w:rsidR="2FFF1FBA" w:rsidRPr="3DD03D47">
          <w:rPr>
            <w:rStyle w:val="Hyperlink"/>
          </w:rPr>
          <w:t xml:space="preserve">hase </w:t>
        </w:r>
        <w:r w:rsidR="441BEF93" w:rsidRPr="3DD03D47">
          <w:rPr>
            <w:rStyle w:val="Hyperlink"/>
          </w:rPr>
          <w:t>1</w:t>
        </w:r>
        <w:r w:rsidR="5F3AEEE7" w:rsidRPr="3DD03D47">
          <w:rPr>
            <w:rStyle w:val="Hyperlink"/>
          </w:rPr>
          <w:t>: A Summary report</w:t>
        </w:r>
      </w:hyperlink>
      <w:r w:rsidR="6969E2E3">
        <w:t xml:space="preserve"> and the </w:t>
      </w:r>
      <w:r w:rsidR="2C345A1E">
        <w:t>phase 2</w:t>
      </w:r>
      <w:r w:rsidR="6969E2E3">
        <w:t xml:space="preserve"> Business Case.</w:t>
      </w:r>
    </w:p>
    <w:p w14:paraId="32E20470" w14:textId="099EF325" w:rsidR="00BA7E51" w:rsidRDefault="009C3CCA" w:rsidP="00870C7B">
      <w:pPr>
        <w:pStyle w:val="Heading3"/>
      </w:pPr>
      <w:bookmarkStart w:id="0" w:name="_1.2_Summary_of"/>
      <w:bookmarkEnd w:id="0"/>
      <w:r>
        <w:t xml:space="preserve">1.2 </w:t>
      </w:r>
      <w:r w:rsidR="00BA7E51">
        <w:t>Summary of progress</w:t>
      </w:r>
    </w:p>
    <w:p w14:paraId="4DF780AA" w14:textId="01978B6B" w:rsidR="0094762D" w:rsidRDefault="000D3F4B" w:rsidP="00050C40">
      <w:pPr>
        <w:pStyle w:val="ParagraphText-unnumbered"/>
      </w:pPr>
      <w:r>
        <w:t xml:space="preserve">The Fleming Fund has made good progress </w:t>
      </w:r>
      <w:r w:rsidR="00B239DF">
        <w:t>against all</w:t>
      </w:r>
      <w:r>
        <w:t xml:space="preserve"> outputs</w:t>
      </w:r>
      <w:r w:rsidR="0020457E">
        <w:t xml:space="preserve">, </w:t>
      </w:r>
      <w:r w:rsidR="00E131E9">
        <w:t>achieving 4</w:t>
      </w:r>
      <w:r w:rsidR="00E20171">
        <w:t xml:space="preserve"> </w:t>
      </w:r>
      <w:r w:rsidR="00B239DF">
        <w:t xml:space="preserve">of the </w:t>
      </w:r>
      <w:r w:rsidR="00E20171">
        <w:t xml:space="preserve">8 </w:t>
      </w:r>
      <w:r w:rsidR="00B239DF">
        <w:t>recommendations</w:t>
      </w:r>
      <w:r w:rsidR="008F0E32">
        <w:t xml:space="preserve"> from the 2020 Annual Review</w:t>
      </w:r>
      <w:r>
        <w:t xml:space="preserve">. </w:t>
      </w:r>
      <w:r w:rsidR="00E131E9">
        <w:t>Four</w:t>
      </w:r>
      <w:r w:rsidR="009362CF" w:rsidRPr="0020457E">
        <w:t xml:space="preserve"> </w:t>
      </w:r>
      <w:r w:rsidR="009362CF">
        <w:t>milestones were carried over</w:t>
      </w:r>
      <w:r w:rsidR="009362CF" w:rsidRPr="0020457E">
        <w:t xml:space="preserve"> to 2022 due to the delay in </w:t>
      </w:r>
      <w:r w:rsidR="00814B4D">
        <w:t>HM Treasury's Spending Review</w:t>
      </w:r>
      <w:r w:rsidR="00BE6CFF">
        <w:t xml:space="preserve"> and the </w:t>
      </w:r>
      <w:r w:rsidR="7DDEEFB4">
        <w:t xml:space="preserve">resultant </w:t>
      </w:r>
      <w:r w:rsidR="00BE6CFF">
        <w:t xml:space="preserve">lack of </w:t>
      </w:r>
      <w:r w:rsidR="7DDEEFB4">
        <w:t>certainty</w:t>
      </w:r>
      <w:r w:rsidR="00BE6CFF">
        <w:t xml:space="preserve"> needed to be</w:t>
      </w:r>
      <w:r w:rsidR="006B0485">
        <w:t>g</w:t>
      </w:r>
      <w:r w:rsidR="00BE6CFF">
        <w:t xml:space="preserve">in phase 2 </w:t>
      </w:r>
      <w:r w:rsidR="006B0485">
        <w:t>planning and negotiations.</w:t>
      </w:r>
      <w:r w:rsidR="00206AF9">
        <w:t xml:space="preserve"> </w:t>
      </w:r>
      <w:r w:rsidR="0094762D">
        <w:t>The programme has exceeded expectations in building a culture of learning and sharing data, despite ongoing travel difficulties linked to COVID-19. This has helped to raise the profile of AMR on the world stage.</w:t>
      </w:r>
      <w:r w:rsidR="009362CF" w:rsidRPr="009362CF">
        <w:t xml:space="preserve"> </w:t>
      </w:r>
      <w:r w:rsidR="0094762D">
        <w:t>Key achievements include:</w:t>
      </w:r>
    </w:p>
    <w:p w14:paraId="161A1458" w14:textId="54885FDA" w:rsidR="0094762D" w:rsidRDefault="00C442DE" w:rsidP="000714B7">
      <w:pPr>
        <w:pStyle w:val="Bullet"/>
      </w:pPr>
      <w:r>
        <w:t>t</w:t>
      </w:r>
      <w:r w:rsidR="0094762D">
        <w:t xml:space="preserve">he WHO </w:t>
      </w:r>
      <w:r w:rsidR="00B42B53">
        <w:t xml:space="preserve">finalising and </w:t>
      </w:r>
      <w:r w:rsidR="0094762D">
        <w:t xml:space="preserve">deploying the </w:t>
      </w:r>
      <w:hyperlink r:id="rId26" w:history="1">
        <w:r w:rsidR="0094762D" w:rsidRPr="00055DD6">
          <w:rPr>
            <w:rStyle w:val="Hyperlink"/>
          </w:rPr>
          <w:t>One Health Tricycle protocol</w:t>
        </w:r>
      </w:hyperlink>
      <w:r w:rsidR="0094762D">
        <w:t>, enabling countries to implement National Integrated Surveillance Systems on AMR</w:t>
      </w:r>
      <w:r w:rsidR="006313B6">
        <w:t>;</w:t>
      </w:r>
    </w:p>
    <w:p w14:paraId="661EDF70" w14:textId="15D8E954" w:rsidR="007D7D65" w:rsidRDefault="00C442DE" w:rsidP="713091E2">
      <w:pPr>
        <w:pStyle w:val="Bullet"/>
        <w:rPr>
          <w:rFonts w:eastAsia="Arial" w:cs="Arial"/>
          <w:szCs w:val="24"/>
        </w:rPr>
      </w:pPr>
      <w:r>
        <w:t>s</w:t>
      </w:r>
      <w:r w:rsidR="713091E2">
        <w:t>upporting the WOAH to collect and report on quality data, which allowed the WOAH to analyse and report the decrease of AMC/U in animal health;</w:t>
      </w:r>
    </w:p>
    <w:p w14:paraId="598F53A2" w14:textId="47CD134B" w:rsidR="008703E0" w:rsidRDefault="00C442DE" w:rsidP="000714B7">
      <w:pPr>
        <w:pStyle w:val="Bullet"/>
      </w:pPr>
      <w:r>
        <w:t>s</w:t>
      </w:r>
      <w:r w:rsidR="006615A3">
        <w:t>upporting</w:t>
      </w:r>
      <w:r w:rsidR="00944A63">
        <w:t xml:space="preserve"> nearly 23,000 training attendees on AMR/C/U through regional and country grants</w:t>
      </w:r>
      <w:r w:rsidR="00926E38">
        <w:t xml:space="preserve">. </w:t>
      </w:r>
      <w:r w:rsidR="00DC40FD">
        <w:t>Popular topics included microbiology, quality of data, epidemiology and biosafety</w:t>
      </w:r>
      <w:r w:rsidR="0057172A">
        <w:t>;</w:t>
      </w:r>
    </w:p>
    <w:p w14:paraId="5B11911F" w14:textId="3491C918" w:rsidR="0057172A" w:rsidRDefault="00C442DE" w:rsidP="000714B7">
      <w:pPr>
        <w:pStyle w:val="Bullet"/>
      </w:pPr>
      <w:r>
        <w:t>t</w:t>
      </w:r>
      <w:r w:rsidR="0057172A">
        <w:t>he G</w:t>
      </w:r>
      <w:r w:rsidR="008175F8">
        <w:t xml:space="preserve">lobal </w:t>
      </w:r>
      <w:r w:rsidR="0057172A">
        <w:t>R</w:t>
      </w:r>
      <w:r w:rsidR="008175F8">
        <w:t xml:space="preserve">esearch on </w:t>
      </w:r>
      <w:r w:rsidR="0057172A">
        <w:t>A</w:t>
      </w:r>
      <w:r w:rsidR="008175F8">
        <w:t>ntimicrobial Resistance (GRAM)</w:t>
      </w:r>
      <w:r w:rsidR="0057172A">
        <w:t xml:space="preserve"> project </w:t>
      </w:r>
      <w:r w:rsidR="00A74EA8">
        <w:t xml:space="preserve">completing </w:t>
      </w:r>
      <w:r w:rsidR="00EE4F47">
        <w:t>its analysis on the global burden of AMR in 2019</w:t>
      </w:r>
      <w:r w:rsidR="005001EC">
        <w:t xml:space="preserve"> and disseminating information to world leaders a</w:t>
      </w:r>
      <w:r w:rsidR="008175F8">
        <w:t>t the G7 Health Ministers' meeting.</w:t>
      </w:r>
    </w:p>
    <w:p w14:paraId="0507EE41" w14:textId="1C4BEFC9" w:rsidR="00E769CB" w:rsidRDefault="00E769CB">
      <w:r>
        <w:br w:type="page"/>
      </w:r>
    </w:p>
    <w:p w14:paraId="6B9AB872" w14:textId="40367FE0" w:rsidR="00FB423D" w:rsidRPr="00082F58" w:rsidRDefault="008175F8" w:rsidP="0020457E">
      <w:pPr>
        <w:pStyle w:val="Boxedtext-greenborder"/>
        <w:rPr>
          <w:rStyle w:val="Bold"/>
        </w:rPr>
      </w:pPr>
      <w:r>
        <w:rPr>
          <w:rStyle w:val="Bold"/>
        </w:rPr>
        <w:lastRenderedPageBreak/>
        <w:t>Key Achievement: GRAM</w:t>
      </w:r>
      <w:r w:rsidR="00082F58">
        <w:rPr>
          <w:rStyle w:val="Bold"/>
        </w:rPr>
        <w:t xml:space="preserve"> project</w:t>
      </w:r>
      <w:r w:rsidR="00456D2F">
        <w:rPr>
          <w:rStyle w:val="Bold"/>
        </w:rPr>
        <w:t xml:space="preserve"> </w:t>
      </w:r>
      <w:r>
        <w:rPr>
          <w:rStyle w:val="Bold"/>
        </w:rPr>
        <w:t>analysis of the global burden of AMR</w:t>
      </w:r>
    </w:p>
    <w:p w14:paraId="3B03AEB1" w14:textId="2059239E" w:rsidR="0020457E" w:rsidRDefault="00E13882" w:rsidP="0020457E">
      <w:pPr>
        <w:pStyle w:val="Boxedtext-greenborder"/>
      </w:pPr>
      <w:r w:rsidRPr="00E13882">
        <w:t xml:space="preserve">The GRAM project </w:t>
      </w:r>
      <w:r w:rsidR="00062DB3">
        <w:t>completed</w:t>
      </w:r>
      <w:r w:rsidRPr="00E13882">
        <w:t xml:space="preserve"> its </w:t>
      </w:r>
      <w:hyperlink r:id="rId27" w:history="1">
        <w:r w:rsidRPr="00FA049F">
          <w:rPr>
            <w:rStyle w:val="Hyperlink"/>
          </w:rPr>
          <w:t>analysis on the global burden of AMR</w:t>
        </w:r>
      </w:hyperlink>
      <w:r w:rsidR="00062DB3">
        <w:t xml:space="preserve">, which </w:t>
      </w:r>
      <w:r w:rsidRPr="00E13882">
        <w:t>established that AMR is a leading cause of death globally</w:t>
      </w:r>
      <w:r w:rsidR="00062DB3">
        <w:t xml:space="preserve">. </w:t>
      </w:r>
      <w:r w:rsidR="0075603F">
        <w:t xml:space="preserve">Nearly </w:t>
      </w:r>
      <w:r w:rsidRPr="00E13882">
        <w:t xml:space="preserve">5 million deaths </w:t>
      </w:r>
      <w:r w:rsidR="0075603F">
        <w:t xml:space="preserve">were </w:t>
      </w:r>
      <w:r w:rsidR="008D6E4E">
        <w:t>estimated to be</w:t>
      </w:r>
      <w:r w:rsidR="0075603F">
        <w:t xml:space="preserve"> </w:t>
      </w:r>
      <w:r w:rsidRPr="00E13882">
        <w:t>associated with AMR in 2019</w:t>
      </w:r>
      <w:r w:rsidR="0075603F">
        <w:t>, with 1 in 5 occurring in children under the age of 5.</w:t>
      </w:r>
    </w:p>
    <w:p w14:paraId="116C8728" w14:textId="5CA971DD" w:rsidR="009A1DEC" w:rsidRDefault="009A1DEC" w:rsidP="0020457E">
      <w:pPr>
        <w:pStyle w:val="Boxedtext-greenborder"/>
      </w:pPr>
      <w:r>
        <w:t>The project</w:t>
      </w:r>
      <w:r w:rsidR="003E7C5D">
        <w:t xml:space="preserve"> first reported the findings to the G7</w:t>
      </w:r>
      <w:r>
        <w:t xml:space="preserve"> Health Ministers' meeting in </w:t>
      </w:r>
      <w:r w:rsidR="00AC111B">
        <w:t xml:space="preserve">June </w:t>
      </w:r>
      <w:r>
        <w:t>2021</w:t>
      </w:r>
      <w:r w:rsidR="00F74062">
        <w:t xml:space="preserve">. </w:t>
      </w:r>
      <w:r w:rsidR="00A74B25">
        <w:t xml:space="preserve">The paper was </w:t>
      </w:r>
      <w:r w:rsidR="00152318">
        <w:t>submitted to the Lancet in 2021 and</w:t>
      </w:r>
      <w:r w:rsidR="00A74B25">
        <w:t xml:space="preserve"> </w:t>
      </w:r>
      <w:r>
        <w:t xml:space="preserve">then </w:t>
      </w:r>
      <w:r w:rsidR="00A74B25">
        <w:t>published in January 2022</w:t>
      </w:r>
      <w:r w:rsidR="59A769BA">
        <w:t>. A</w:t>
      </w:r>
      <w:r w:rsidR="00AC111B">
        <w:t xml:space="preserve"> </w:t>
      </w:r>
      <w:r w:rsidR="00D30D7C">
        <w:t xml:space="preserve">donor-led </w:t>
      </w:r>
      <w:r w:rsidR="0AED39EA">
        <w:t xml:space="preserve">marketing </w:t>
      </w:r>
      <w:r w:rsidR="00AC111B">
        <w:t>campaign linked to the</w:t>
      </w:r>
      <w:r w:rsidR="00D30D7C">
        <w:t xml:space="preserve"> paper generated</w:t>
      </w:r>
      <w:r w:rsidR="00A74B25">
        <w:t xml:space="preserve"> over 7,000 </w:t>
      </w:r>
      <w:r w:rsidR="003E7C5D">
        <w:t xml:space="preserve">new items and 8,000 social media posts discussing the report. </w:t>
      </w:r>
    </w:p>
    <w:p w14:paraId="23D11A6D" w14:textId="05522963" w:rsidR="00154E41" w:rsidRPr="00870C7B" w:rsidRDefault="009A1DEC" w:rsidP="00804C49">
      <w:pPr>
        <w:pStyle w:val="Boxedtext-greenborder"/>
      </w:pPr>
      <w:r>
        <w:t xml:space="preserve">Over 500 global health stakeholders attended </w:t>
      </w:r>
      <w:r w:rsidR="001F35D5">
        <w:t xml:space="preserve">the </w:t>
      </w:r>
      <w:hyperlink r:id="rId28" w:history="1">
        <w:r w:rsidR="001F35D5" w:rsidRPr="001F35D5">
          <w:rPr>
            <w:rStyle w:val="Hyperlink"/>
          </w:rPr>
          <w:t>online launch event</w:t>
        </w:r>
      </w:hyperlink>
      <w:r w:rsidR="001F35D5">
        <w:t xml:space="preserve">, raising awareness amongst decision makers across the world. The Fleming Fund plans to continue the </w:t>
      </w:r>
      <w:r w:rsidR="00A405C5">
        <w:t>campaign with individual countries' burden level results in</w:t>
      </w:r>
      <w:r w:rsidR="00105539">
        <w:t xml:space="preserve"> </w:t>
      </w:r>
      <w:r w:rsidR="00AC6BA2">
        <w:t>phase 2</w:t>
      </w:r>
      <w:r w:rsidR="00A405C5">
        <w:t>.</w:t>
      </w:r>
      <w:r w:rsidR="00D30D7C">
        <w:t xml:space="preserve"> An evaluation is ongoing. </w:t>
      </w:r>
    </w:p>
    <w:p w14:paraId="2B4DDEDF" w14:textId="469AF19E" w:rsidR="001C2170" w:rsidRDefault="007F2CD8" w:rsidP="007F2CD8">
      <w:pPr>
        <w:pStyle w:val="Heading3"/>
        <w:numPr>
          <w:ilvl w:val="1"/>
          <w:numId w:val="16"/>
        </w:numPr>
        <w:rPr>
          <w:rStyle w:val="Hyperlink"/>
        </w:rPr>
      </w:pPr>
      <w:r>
        <w:t>R</w:t>
      </w:r>
      <w:r w:rsidR="00E75DF3">
        <w:t xml:space="preserve">ecommendations from </w:t>
      </w:r>
      <w:r>
        <w:t>2020</w:t>
      </w:r>
    </w:p>
    <w:p w14:paraId="5AB3F47B" w14:textId="5F43383B" w:rsidR="007F2CD8" w:rsidRPr="007F2CD8" w:rsidRDefault="00CB52B6" w:rsidP="007F2CD8">
      <w:pPr>
        <w:pStyle w:val="ParagraphText-unnumbered"/>
      </w:pPr>
      <w:r>
        <w:t xml:space="preserve">The full recommendations </w:t>
      </w:r>
      <w:r w:rsidR="00B16C68">
        <w:t>are available in</w:t>
      </w:r>
      <w:r>
        <w:t xml:space="preserve"> the </w:t>
      </w:r>
      <w:hyperlink r:id="rId29" w:history="1">
        <w:r w:rsidRPr="005A01A2">
          <w:rPr>
            <w:rStyle w:val="Hyperlink"/>
          </w:rPr>
          <w:t>2020 annual review</w:t>
        </w:r>
      </w:hyperlink>
      <w:r>
        <w:t>.</w:t>
      </w:r>
    </w:p>
    <w:p w14:paraId="08F3759A" w14:textId="17094B0A" w:rsidR="00540689" w:rsidRDefault="00540689" w:rsidP="00E75DF3">
      <w:pPr>
        <w:pStyle w:val="Bullet-numberedlist"/>
      </w:pPr>
      <w:r w:rsidRPr="00B33719">
        <w:rPr>
          <w:rStyle w:val="Bold"/>
        </w:rPr>
        <w:t>R</w:t>
      </w:r>
      <w:r w:rsidR="00BF72F1" w:rsidRPr="00B33719">
        <w:rPr>
          <w:rStyle w:val="Bold"/>
        </w:rPr>
        <w:t>e</w:t>
      </w:r>
      <w:r w:rsidR="00321C03" w:rsidRPr="00B33719">
        <w:rPr>
          <w:rStyle w:val="Bold"/>
        </w:rPr>
        <w:t xml:space="preserve">commendation </w:t>
      </w:r>
      <w:r w:rsidRPr="00B33719">
        <w:rPr>
          <w:rStyle w:val="Bold"/>
        </w:rPr>
        <w:t>1</w:t>
      </w:r>
      <w:r w:rsidR="00321C03" w:rsidRPr="00B33719">
        <w:rPr>
          <w:rStyle w:val="Bold"/>
        </w:rPr>
        <w:t xml:space="preserve">: </w:t>
      </w:r>
      <w:r w:rsidR="00F77312">
        <w:rPr>
          <w:rStyle w:val="Bold"/>
        </w:rPr>
        <w:t xml:space="preserve">partially </w:t>
      </w:r>
      <w:r w:rsidR="00F70B15" w:rsidRPr="00B33719">
        <w:rPr>
          <w:rStyle w:val="Bold"/>
        </w:rPr>
        <w:t>achieved</w:t>
      </w:r>
      <w:r w:rsidR="00F70B15">
        <w:t>. The Fleming Fund has developed a</w:t>
      </w:r>
      <w:r w:rsidR="00A37F9E">
        <w:t xml:space="preserve"> new Theory of Change</w:t>
      </w:r>
      <w:r w:rsidR="004111EC">
        <w:t xml:space="preserve"> </w:t>
      </w:r>
      <w:r w:rsidR="00A37F9E">
        <w:t>and</w:t>
      </w:r>
      <w:r w:rsidR="00F70B15">
        <w:t xml:space="preserve"> </w:t>
      </w:r>
      <w:r w:rsidR="00E131E9">
        <w:t xml:space="preserve">will finish consultation on a new </w:t>
      </w:r>
      <w:r w:rsidR="00F70B15">
        <w:t>Results Framework in Q</w:t>
      </w:r>
      <w:r w:rsidR="00B054A1">
        <w:t>3</w:t>
      </w:r>
      <w:r w:rsidR="00F70B15">
        <w:t xml:space="preserve"> 2022</w:t>
      </w:r>
      <w:r w:rsidR="00A37F9E">
        <w:t xml:space="preserve">. Both will be ready for use in </w:t>
      </w:r>
      <w:r w:rsidR="00AC6BA2">
        <w:t>phase 2</w:t>
      </w:r>
      <w:r w:rsidR="00FA7AA6">
        <w:t>.</w:t>
      </w:r>
    </w:p>
    <w:p w14:paraId="3F6AD3BF" w14:textId="61B373B4" w:rsidR="00A41B4A" w:rsidRDefault="00A41B4A" w:rsidP="00E75DF3">
      <w:pPr>
        <w:pStyle w:val="Bullet-numberedlist"/>
      </w:pPr>
      <w:r w:rsidRPr="000B159B">
        <w:rPr>
          <w:rStyle w:val="Bold"/>
        </w:rPr>
        <w:t>Recommendation 2: partially achieved.</w:t>
      </w:r>
      <w:r>
        <w:t xml:space="preserve"> </w:t>
      </w:r>
      <w:r w:rsidR="00E91C4C">
        <w:t xml:space="preserve">Due to COVID-19 travel complications and the </w:t>
      </w:r>
      <w:r w:rsidR="00566893">
        <w:t xml:space="preserve">development of the phase </w:t>
      </w:r>
      <w:r w:rsidR="00C84F6A">
        <w:t xml:space="preserve">2 </w:t>
      </w:r>
      <w:r w:rsidR="00015B28">
        <w:t>Business Case</w:t>
      </w:r>
      <w:r w:rsidR="00015B28" w:rsidDel="002B18EC">
        <w:t xml:space="preserve"> </w:t>
      </w:r>
      <w:r w:rsidR="00566893">
        <w:t>and grant agreements, the Fleming Fund decided not to conduct country visits for th</w:t>
      </w:r>
      <w:r w:rsidR="00313554">
        <w:t xml:space="preserve">is </w:t>
      </w:r>
      <w:r w:rsidR="00566893">
        <w:t xml:space="preserve">Annual Review. </w:t>
      </w:r>
      <w:r w:rsidR="005C4EC8">
        <w:t xml:space="preserve">Travel permitting, </w:t>
      </w:r>
      <w:r w:rsidR="004B0D45">
        <w:t>country visits</w:t>
      </w:r>
      <w:r w:rsidR="00CF3C77">
        <w:t xml:space="preserve"> will resume</w:t>
      </w:r>
      <w:r w:rsidR="004B0D45">
        <w:t xml:space="preserve"> </w:t>
      </w:r>
      <w:r w:rsidR="0002098B">
        <w:t xml:space="preserve">with the additional objective of </w:t>
      </w:r>
      <w:r w:rsidR="004B0D45">
        <w:t>support</w:t>
      </w:r>
      <w:r w:rsidR="0002098B">
        <w:t>ing</w:t>
      </w:r>
      <w:r w:rsidR="004B0D45">
        <w:t xml:space="preserve"> future Annual Reviews</w:t>
      </w:r>
      <w:r w:rsidR="00553E13">
        <w:t xml:space="preserve">. </w:t>
      </w:r>
    </w:p>
    <w:p w14:paraId="65907E45" w14:textId="35B5157F" w:rsidR="00553E13" w:rsidRDefault="00553E13" w:rsidP="00E75DF3">
      <w:pPr>
        <w:pStyle w:val="Bullet-numberedlist"/>
      </w:pPr>
      <w:r w:rsidRPr="000B159B">
        <w:rPr>
          <w:rStyle w:val="Bold"/>
        </w:rPr>
        <w:t xml:space="preserve">Recommendation 3: </w:t>
      </w:r>
      <w:r w:rsidR="005009C9" w:rsidRPr="000B159B">
        <w:rPr>
          <w:rStyle w:val="Bold"/>
        </w:rPr>
        <w:t>achieved.</w:t>
      </w:r>
      <w:r w:rsidR="005009C9">
        <w:t xml:space="preserve"> Social media platforms </w:t>
      </w:r>
      <w:r w:rsidR="006E2CC5">
        <w:t xml:space="preserve">and other innovative communication </w:t>
      </w:r>
      <w:r w:rsidR="00DC0C2F">
        <w:t xml:space="preserve">methods </w:t>
      </w:r>
      <w:r w:rsidR="005009C9">
        <w:t>were trial</w:t>
      </w:r>
      <w:r w:rsidR="00562AF9">
        <w:t>led for a pilot launch of the Open University online modules</w:t>
      </w:r>
      <w:r w:rsidR="00B463D3">
        <w:t xml:space="preserve"> as recommended</w:t>
      </w:r>
      <w:r w:rsidR="00562AF9">
        <w:t xml:space="preserve">. The course </w:t>
      </w:r>
      <w:r w:rsidR="00F521ED">
        <w:t>was promoted in social networks, country coordination meetings</w:t>
      </w:r>
      <w:r w:rsidR="003A078F">
        <w:t xml:space="preserve">, </w:t>
      </w:r>
      <w:r w:rsidR="00F521ED">
        <w:t>in the Fleming Fund monthly newsletter</w:t>
      </w:r>
      <w:r w:rsidR="003A078F">
        <w:t xml:space="preserve">, and </w:t>
      </w:r>
      <w:r w:rsidR="00313554">
        <w:t>through the Management Agent's (MA) Consultancy Service Team</w:t>
      </w:r>
      <w:r w:rsidR="00C12CEB">
        <w:t xml:space="preserve"> database of 20,000.</w:t>
      </w:r>
    </w:p>
    <w:p w14:paraId="0B23E49E" w14:textId="4C2DB41B" w:rsidR="00AA454D" w:rsidRDefault="00FC545E" w:rsidP="00E75DF3">
      <w:pPr>
        <w:pStyle w:val="Bullet-numberedlist"/>
      </w:pPr>
      <w:r w:rsidRPr="000B159B">
        <w:rPr>
          <w:rStyle w:val="Bold"/>
        </w:rPr>
        <w:t xml:space="preserve">Recommendation </w:t>
      </w:r>
      <w:r w:rsidR="00F9289F" w:rsidRPr="000B159B">
        <w:rPr>
          <w:rStyle w:val="Bold"/>
        </w:rPr>
        <w:t>4</w:t>
      </w:r>
      <w:r w:rsidRPr="000B159B">
        <w:rPr>
          <w:rStyle w:val="Bold"/>
        </w:rPr>
        <w:t>: achieved.</w:t>
      </w:r>
      <w:r>
        <w:t xml:space="preserve"> </w:t>
      </w:r>
      <w:r w:rsidR="003A16AE">
        <w:t>The MA completed a review its approach to V</w:t>
      </w:r>
      <w:r w:rsidR="00A94BAA">
        <w:t xml:space="preserve">alue </w:t>
      </w:r>
      <w:r w:rsidR="00A15D76">
        <w:t>f</w:t>
      </w:r>
      <w:r w:rsidR="00A94BAA">
        <w:t xml:space="preserve">or </w:t>
      </w:r>
      <w:r w:rsidR="003A16AE">
        <w:t>M</w:t>
      </w:r>
      <w:r w:rsidR="00A94BAA">
        <w:t>oney (V</w:t>
      </w:r>
      <w:r w:rsidR="00A15D76">
        <w:t>f</w:t>
      </w:r>
      <w:r w:rsidR="00A94BAA">
        <w:t>M)</w:t>
      </w:r>
      <w:r w:rsidR="009F3B5B">
        <w:t xml:space="preserve"> as recommended</w:t>
      </w:r>
      <w:r w:rsidR="003A16AE">
        <w:t xml:space="preserve">. </w:t>
      </w:r>
      <w:r w:rsidR="00E16E19">
        <w:t>The</w:t>
      </w:r>
      <w:r w:rsidR="004C2512">
        <w:t xml:space="preserve"> World Bank and </w:t>
      </w:r>
      <w:r w:rsidR="00E239EC" w:rsidRPr="00E239EC">
        <w:t>Organisation for Economic Cooperation and Development</w:t>
      </w:r>
      <w:r w:rsidR="00E239EC">
        <w:t xml:space="preserve"> (</w:t>
      </w:r>
      <w:r w:rsidR="004C2512">
        <w:t>OECD</w:t>
      </w:r>
      <w:r w:rsidR="00E239EC">
        <w:t>)</w:t>
      </w:r>
      <w:r w:rsidR="004C2512">
        <w:t xml:space="preserve"> </w:t>
      </w:r>
      <w:r w:rsidR="00106EBD">
        <w:t>welcomed</w:t>
      </w:r>
      <w:r w:rsidR="004C2512">
        <w:t xml:space="preserve"> the</w:t>
      </w:r>
      <w:r w:rsidR="00E16E19">
        <w:t xml:space="preserve"> Fleming Fund</w:t>
      </w:r>
      <w:r w:rsidR="000A5850">
        <w:t xml:space="preserve"> </w:t>
      </w:r>
      <w:r w:rsidR="00E16E19">
        <w:t xml:space="preserve">framework </w:t>
      </w:r>
      <w:r w:rsidR="004F6CDB">
        <w:t>for assessing costs and benefits of AMR surveillance</w:t>
      </w:r>
      <w:r w:rsidR="00497F3D">
        <w:t xml:space="preserve"> piloted in Uganda</w:t>
      </w:r>
      <w:r w:rsidR="004C2512">
        <w:t xml:space="preserve">. </w:t>
      </w:r>
      <w:r w:rsidR="00F7638F">
        <w:t xml:space="preserve">The Fleming Fund and </w:t>
      </w:r>
      <w:r w:rsidR="005C4959">
        <w:t>MA</w:t>
      </w:r>
      <w:r w:rsidR="00F7638F">
        <w:t xml:space="preserve"> have </w:t>
      </w:r>
      <w:r w:rsidR="008B5058">
        <w:t xml:space="preserve">also </w:t>
      </w:r>
      <w:r w:rsidR="00C932BE">
        <w:t xml:space="preserve">developed a plan for gender and tools for Value for Money </w:t>
      </w:r>
      <w:r w:rsidR="00C932BE">
        <w:lastRenderedPageBreak/>
        <w:t xml:space="preserve">(see more </w:t>
      </w:r>
      <w:r w:rsidR="00A70858">
        <w:t>at</w:t>
      </w:r>
      <w:r w:rsidR="00C932BE">
        <w:t xml:space="preserve"> </w:t>
      </w:r>
      <w:r w:rsidR="00A70858">
        <w:t>section 7)</w:t>
      </w:r>
      <w:r w:rsidR="007C7E21">
        <w:t>,</w:t>
      </w:r>
      <w:r w:rsidR="007C7E21" w:rsidRPr="007C7E21">
        <w:t xml:space="preserve"> </w:t>
      </w:r>
      <w:r w:rsidR="007C7E21">
        <w:t>including making gender and equity one of the Fleming Fund principles for phase 2.</w:t>
      </w:r>
    </w:p>
    <w:p w14:paraId="117E5E0D" w14:textId="0668F500" w:rsidR="00A70858" w:rsidRDefault="00A70858" w:rsidP="00E75DF3">
      <w:pPr>
        <w:pStyle w:val="Bullet-numberedlist"/>
      </w:pPr>
      <w:r w:rsidRPr="000B159B">
        <w:rPr>
          <w:rStyle w:val="Bold"/>
        </w:rPr>
        <w:t xml:space="preserve">Recommendation 5: </w:t>
      </w:r>
      <w:r w:rsidR="00FE3B04" w:rsidRPr="000B159B">
        <w:rPr>
          <w:rStyle w:val="Bold"/>
        </w:rPr>
        <w:t>achieved.</w:t>
      </w:r>
      <w:r w:rsidR="00FE3B04">
        <w:t xml:space="preserve"> </w:t>
      </w:r>
      <w:r w:rsidR="00150B1C">
        <w:t>The recommended</w:t>
      </w:r>
      <w:r w:rsidR="00FE3B04">
        <w:t xml:space="preserve"> lessons learned exercise on </w:t>
      </w:r>
      <w:r w:rsidR="00E239EC" w:rsidRPr="00E239EC">
        <w:t>FIND, the global alliance for diagnostics</w:t>
      </w:r>
      <w:r w:rsidR="00E239EC">
        <w:t xml:space="preserve">, </w:t>
      </w:r>
      <w:r w:rsidR="00FE3B04">
        <w:t xml:space="preserve">has informed the phase </w:t>
      </w:r>
      <w:r w:rsidR="00150B1C">
        <w:t>2</w:t>
      </w:r>
      <w:r w:rsidR="00FE3B04">
        <w:t xml:space="preserve"> strategy on substandard and falsified medical products.</w:t>
      </w:r>
    </w:p>
    <w:p w14:paraId="4BDE23C2" w14:textId="0D80BC0D" w:rsidR="00FE3B04" w:rsidRDefault="00FE3B04" w:rsidP="00E75DF3">
      <w:pPr>
        <w:pStyle w:val="Bullet-numberedlist"/>
      </w:pPr>
      <w:r w:rsidRPr="000B159B">
        <w:rPr>
          <w:rStyle w:val="Bold"/>
        </w:rPr>
        <w:t xml:space="preserve">Recommendation 6: </w:t>
      </w:r>
      <w:r w:rsidR="00AA6AF7" w:rsidRPr="000B159B">
        <w:rPr>
          <w:rStyle w:val="Bold"/>
        </w:rPr>
        <w:t>achieved.</w:t>
      </w:r>
      <w:r w:rsidR="00AA6AF7">
        <w:t xml:space="preserve"> The monitoring matrix was reviewed </w:t>
      </w:r>
      <w:r w:rsidR="00AC1007">
        <w:t xml:space="preserve">and now includes a new indicator </w:t>
      </w:r>
      <w:r w:rsidR="000A0815">
        <w:t xml:space="preserve">for fellows to </w:t>
      </w:r>
      <w:r w:rsidR="00B67C6E">
        <w:t>track their improvement during the Fellowship scheme.</w:t>
      </w:r>
      <w:r w:rsidR="004343EA">
        <w:t xml:space="preserve"> </w:t>
      </w:r>
      <w:r w:rsidR="00EE7E24">
        <w:t>The scheme itself has been reviewed</w:t>
      </w:r>
      <w:r w:rsidR="00EB4034">
        <w:t xml:space="preserve"> and </w:t>
      </w:r>
      <w:r w:rsidR="00303F3F">
        <w:t xml:space="preserve">suggested improvements will be </w:t>
      </w:r>
      <w:r w:rsidR="000E28B4">
        <w:t xml:space="preserve">reflected in the development of </w:t>
      </w:r>
      <w:r w:rsidR="00303F3F">
        <w:t xml:space="preserve"> </w:t>
      </w:r>
      <w:r w:rsidR="000E28B4">
        <w:t xml:space="preserve">the design of the Fellowship scheme in </w:t>
      </w:r>
      <w:r w:rsidR="00303F3F">
        <w:t xml:space="preserve">phase 2. </w:t>
      </w:r>
    </w:p>
    <w:p w14:paraId="0DB88227" w14:textId="04E8096C" w:rsidR="00C12CEB" w:rsidRDefault="00EB4034" w:rsidP="00E75DF3">
      <w:pPr>
        <w:pStyle w:val="Bullet-numberedlist"/>
      </w:pPr>
      <w:r w:rsidRPr="000B159B">
        <w:rPr>
          <w:rStyle w:val="Bold"/>
        </w:rPr>
        <w:t xml:space="preserve">Recommendation 7: </w:t>
      </w:r>
      <w:r w:rsidR="007D73DB" w:rsidRPr="000B159B">
        <w:rPr>
          <w:rStyle w:val="Bold"/>
        </w:rPr>
        <w:t>partially achieved.</w:t>
      </w:r>
      <w:r w:rsidR="007D73DB">
        <w:t xml:space="preserve"> </w:t>
      </w:r>
      <w:r w:rsidR="002A1E43">
        <w:t xml:space="preserve">The </w:t>
      </w:r>
      <w:r w:rsidR="003837D2">
        <w:t>revised</w:t>
      </w:r>
      <w:r w:rsidR="002A1E43">
        <w:t xml:space="preserve"> </w:t>
      </w:r>
      <w:r w:rsidR="00AC6BA2">
        <w:t>phase 2</w:t>
      </w:r>
      <w:r w:rsidR="002A1E43">
        <w:t xml:space="preserve"> approach to sustainability and political economy analysis has made good progress. </w:t>
      </w:r>
      <w:r w:rsidR="00BA2754">
        <w:t xml:space="preserve">The Technical Advisory Group </w:t>
      </w:r>
      <w:r w:rsidR="005C4959">
        <w:t>(TAG)</w:t>
      </w:r>
      <w:r w:rsidR="00002918">
        <w:t xml:space="preserve"> </w:t>
      </w:r>
      <w:r w:rsidR="00BA2754">
        <w:t>has provided steers</w:t>
      </w:r>
      <w:r w:rsidR="002B4D2E">
        <w:t xml:space="preserve"> for the </w:t>
      </w:r>
      <w:r w:rsidR="005C4959">
        <w:t>MA</w:t>
      </w:r>
      <w:r w:rsidR="002B4D2E">
        <w:t xml:space="preserve"> to </w:t>
      </w:r>
      <w:r w:rsidR="0041126A">
        <w:t xml:space="preserve">include in their implementation plans for </w:t>
      </w:r>
      <w:r w:rsidR="00AC6BA2">
        <w:t>phase 2</w:t>
      </w:r>
      <w:r w:rsidR="0041126A">
        <w:t xml:space="preserve">. This has resulted in </w:t>
      </w:r>
      <w:r w:rsidR="00E52B68">
        <w:t xml:space="preserve">plans for </w:t>
      </w:r>
      <w:r w:rsidR="0041126A">
        <w:t>individual country strategies, exit plans and revised sustainability tools</w:t>
      </w:r>
      <w:r w:rsidR="00E52B68">
        <w:t xml:space="preserve"> in the next phase</w:t>
      </w:r>
      <w:r w:rsidR="0041126A">
        <w:t>.</w:t>
      </w:r>
    </w:p>
    <w:p w14:paraId="073F321B" w14:textId="41A06D9A" w:rsidR="0041126A" w:rsidRDefault="00037A90" w:rsidP="00E75DF3">
      <w:pPr>
        <w:pStyle w:val="Bullet-numberedlist"/>
      </w:pPr>
      <w:r w:rsidRPr="000B159B">
        <w:rPr>
          <w:rStyle w:val="Bold"/>
        </w:rPr>
        <w:t>Recommendation 8: partially achieved</w:t>
      </w:r>
      <w:r>
        <w:t xml:space="preserve">. The Fleming Fund </w:t>
      </w:r>
      <w:r w:rsidR="005C4959">
        <w:t xml:space="preserve">has closely monitored the </w:t>
      </w:r>
      <w:r w:rsidR="00002918">
        <w:t>MA's</w:t>
      </w:r>
      <w:r w:rsidR="005C4959">
        <w:t xml:space="preserve"> </w:t>
      </w:r>
      <w:r w:rsidR="00295832">
        <w:t>spend over</w:t>
      </w:r>
      <w:r w:rsidR="009D3E50">
        <w:t xml:space="preserve"> </w:t>
      </w:r>
      <w:r w:rsidR="00295832">
        <w:t>2021</w:t>
      </w:r>
      <w:r w:rsidR="008963A2">
        <w:t>.</w:t>
      </w:r>
      <w:r w:rsidR="00392CE1">
        <w:t xml:space="preserve"> COVID-19 continue</w:t>
      </w:r>
      <w:r w:rsidR="005B4751">
        <w:t>d</w:t>
      </w:r>
      <w:r w:rsidR="00392CE1">
        <w:t xml:space="preserve"> to impact </w:t>
      </w:r>
      <w:r w:rsidR="009C4F60">
        <w:t>forecasting accuracy and financial performance</w:t>
      </w:r>
      <w:r w:rsidR="005B4751">
        <w:t xml:space="preserve">. Despite positive progress towards </w:t>
      </w:r>
      <w:r w:rsidR="008963A2">
        <w:t xml:space="preserve">reduced </w:t>
      </w:r>
      <w:r w:rsidR="005B4751">
        <w:t>variations</w:t>
      </w:r>
      <w:r w:rsidR="008963A2">
        <w:t xml:space="preserve"> against </w:t>
      </w:r>
      <w:r w:rsidR="000474D2">
        <w:t>the baseline</w:t>
      </w:r>
      <w:r w:rsidR="00B01380">
        <w:t xml:space="preserve"> forecast in</w:t>
      </w:r>
      <w:r w:rsidR="00276C6D">
        <w:t xml:space="preserve"> 2021</w:t>
      </w:r>
      <w:r w:rsidR="005B4751">
        <w:t xml:space="preserve"> </w:t>
      </w:r>
      <w:r w:rsidR="008A3C10">
        <w:t>this remains a live issue that requires ongoing monitoring</w:t>
      </w:r>
      <w:r w:rsidR="001C5393">
        <w:t>.</w:t>
      </w:r>
      <w:r w:rsidR="00C0761F">
        <w:t xml:space="preserve"> The programme team will continue to carefully monitor spending </w:t>
      </w:r>
      <w:r w:rsidR="008A3C10">
        <w:t xml:space="preserve">and work with the MA </w:t>
      </w:r>
      <w:r w:rsidR="00C0761F">
        <w:t xml:space="preserve">to ensure </w:t>
      </w:r>
      <w:r w:rsidR="008A3C10">
        <w:t xml:space="preserve">forecasting </w:t>
      </w:r>
      <w:r w:rsidR="72B23C06">
        <w:t>accuracy is substantially improve</w:t>
      </w:r>
      <w:r w:rsidR="00974CDB">
        <w:t>d</w:t>
      </w:r>
      <w:r w:rsidR="72B23C06">
        <w:t xml:space="preserve"> and is timely</w:t>
      </w:r>
      <w:r w:rsidR="25FB959D">
        <w:t xml:space="preserve">. </w:t>
      </w:r>
    </w:p>
    <w:p w14:paraId="5E008B32" w14:textId="7A8B2AD0" w:rsidR="00870C7B" w:rsidRDefault="009C3CCA" w:rsidP="00870C7B">
      <w:pPr>
        <w:pStyle w:val="Heading3"/>
      </w:pPr>
      <w:r>
        <w:t xml:space="preserve">1.4 </w:t>
      </w:r>
      <w:r w:rsidR="00870C7B">
        <w:t xml:space="preserve">Major lessons and </w:t>
      </w:r>
      <w:r w:rsidR="007F2CD8">
        <w:t>2021</w:t>
      </w:r>
      <w:r w:rsidR="00870C7B">
        <w:t xml:space="preserve"> recommendations</w:t>
      </w:r>
    </w:p>
    <w:p w14:paraId="04CBBA98" w14:textId="30431853" w:rsidR="00CB0307" w:rsidRDefault="05892699" w:rsidP="00106EBD">
      <w:pPr>
        <w:pStyle w:val="ParagraphText-unnumbered"/>
      </w:pPr>
      <w:r w:rsidRPr="3DD03D47">
        <w:rPr>
          <w:rStyle w:val="Bold"/>
        </w:rPr>
        <w:t xml:space="preserve">Recommendation 1: </w:t>
      </w:r>
      <w:r w:rsidR="0033AED3">
        <w:t xml:space="preserve">Develop and disseminate phase 2 Theory of Change </w:t>
      </w:r>
      <w:r w:rsidR="4E89E2EE">
        <w:t xml:space="preserve">(ToC) </w:t>
      </w:r>
      <w:r w:rsidR="0033AED3">
        <w:t xml:space="preserve">narrative with partners to support project coherence and finalise the revised diagram. Ensure partner proposals are aligned to the </w:t>
      </w:r>
      <w:r w:rsidR="4E89E2EE">
        <w:t>ToC</w:t>
      </w:r>
      <w:r w:rsidR="0033AED3">
        <w:t xml:space="preserve">, </w:t>
      </w:r>
      <w:r w:rsidR="4E89E2EE">
        <w:t xml:space="preserve">such as basing their </w:t>
      </w:r>
      <w:r w:rsidR="0033AED3">
        <w:t xml:space="preserve">own </w:t>
      </w:r>
      <w:r w:rsidR="4E89E2EE">
        <w:t>ToC on it</w:t>
      </w:r>
      <w:r w:rsidR="0033AED3">
        <w:t>.</w:t>
      </w:r>
      <w:r w:rsidR="0FC9610D">
        <w:t xml:space="preserve"> The programme team aim to complete this work by December 2022.</w:t>
      </w:r>
    </w:p>
    <w:p w14:paraId="4A609BD7" w14:textId="2649EF01" w:rsidR="009F4C66" w:rsidRPr="009F4C66" w:rsidRDefault="009F4C66" w:rsidP="009F4C66">
      <w:pPr>
        <w:spacing w:after="284" w:line="324" w:lineRule="exact"/>
        <w:rPr>
          <w:rStyle w:val="Bold"/>
          <w:b w:val="0"/>
        </w:rPr>
      </w:pPr>
      <w:r w:rsidRPr="009F4C66">
        <w:rPr>
          <w:b/>
        </w:rPr>
        <w:t xml:space="preserve">Recommendation </w:t>
      </w:r>
      <w:r>
        <w:rPr>
          <w:b/>
        </w:rPr>
        <w:t>2:</w:t>
      </w:r>
      <w:r w:rsidRPr="009F4C66">
        <w:t xml:space="preserve"> Draw on </w:t>
      </w:r>
      <w:r w:rsidR="00A46607">
        <w:t xml:space="preserve">the phase 1 </w:t>
      </w:r>
      <w:r w:rsidRPr="009F4C66">
        <w:t xml:space="preserve">GRAM evaluation lessons to enhance </w:t>
      </w:r>
      <w:r w:rsidR="00272DE5">
        <w:t xml:space="preserve">the approach to sharing </w:t>
      </w:r>
      <w:r w:rsidRPr="009F4C66">
        <w:t xml:space="preserve">burden data </w:t>
      </w:r>
      <w:r w:rsidR="00354530">
        <w:t>with decision makers</w:t>
      </w:r>
      <w:r w:rsidRPr="009F4C66">
        <w:t xml:space="preserve"> at global, regional and country level. </w:t>
      </w:r>
      <w:r w:rsidR="00DA743A">
        <w:t xml:space="preserve">This work will take place during the phase 2 implementation stage </w:t>
      </w:r>
      <w:r w:rsidR="00D147AB">
        <w:t>and reviewed</w:t>
      </w:r>
      <w:r w:rsidR="00DA743A">
        <w:t xml:space="preserve"> </w:t>
      </w:r>
      <w:r w:rsidR="00861BF3">
        <w:t>at the end of</w:t>
      </w:r>
      <w:r w:rsidR="00DA743A">
        <w:t xml:space="preserve"> 2022.</w:t>
      </w:r>
    </w:p>
    <w:p w14:paraId="2E7B2B8B" w14:textId="17A250C7" w:rsidR="009F4C66" w:rsidRPr="00106EBD" w:rsidRDefault="009F4C66" w:rsidP="009F4C66">
      <w:pPr>
        <w:pStyle w:val="ParagraphText-unnumbered"/>
      </w:pPr>
      <w:r w:rsidRPr="003E23CA">
        <w:rPr>
          <w:rStyle w:val="Bold"/>
        </w:rPr>
        <w:t xml:space="preserve">Recommendation </w:t>
      </w:r>
      <w:r>
        <w:rPr>
          <w:rStyle w:val="Bold"/>
        </w:rPr>
        <w:t>3</w:t>
      </w:r>
      <w:r w:rsidRPr="003E23CA">
        <w:t xml:space="preserve">: </w:t>
      </w:r>
      <w:r>
        <w:t xml:space="preserve">Work jointly with the DHSC Global AMR team to revise the Fleming Fund coordination and engagement plan and communications strategy </w:t>
      </w:r>
      <w:r w:rsidRPr="004803D1">
        <w:t xml:space="preserve">to </w:t>
      </w:r>
      <w:r>
        <w:t>target stakeholders</w:t>
      </w:r>
      <w:r w:rsidRPr="004803D1">
        <w:t xml:space="preserve"> with the ability</w:t>
      </w:r>
      <w:r>
        <w:t xml:space="preserve"> to use AMR/C/U data</w:t>
      </w:r>
      <w:r w:rsidRPr="004803D1">
        <w:t xml:space="preserve"> to influence local, regional and global decisions on AMR</w:t>
      </w:r>
      <w:r w:rsidR="00DA743A">
        <w:t xml:space="preserve"> </w:t>
      </w:r>
      <w:r w:rsidR="00BE3BD0">
        <w:t>in autumn</w:t>
      </w:r>
      <w:r w:rsidR="00DA743A">
        <w:t xml:space="preserve"> 2022</w:t>
      </w:r>
      <w:r w:rsidRPr="004803D1">
        <w:t>.</w:t>
      </w:r>
    </w:p>
    <w:p w14:paraId="503B421A" w14:textId="1C136B18" w:rsidR="009F4C66" w:rsidRPr="00870C7B" w:rsidRDefault="009F4C66" w:rsidP="009F4C66">
      <w:pPr>
        <w:pStyle w:val="ParagraphText-unnumbered"/>
      </w:pPr>
      <w:r w:rsidRPr="003C7E22">
        <w:rPr>
          <w:rStyle w:val="Bold"/>
        </w:rPr>
        <w:lastRenderedPageBreak/>
        <w:t xml:space="preserve">Recommendation </w:t>
      </w:r>
      <w:r>
        <w:rPr>
          <w:rStyle w:val="Bold"/>
        </w:rPr>
        <w:t>4:</w:t>
      </w:r>
      <w:r w:rsidRPr="0082235D">
        <w:t xml:space="preserve"> </w:t>
      </w:r>
      <w:r>
        <w:t xml:space="preserve">Work with the Fleming Fund Independent Evaluator to review </w:t>
      </w:r>
      <w:r w:rsidRPr="0082235D">
        <w:t>the impact of remote delivery across the Fleming Fund</w:t>
      </w:r>
      <w:r>
        <w:t xml:space="preserve">. </w:t>
      </w:r>
      <w:r w:rsidR="00085FC6">
        <w:t>Ensure lessons and good practice are incorporated into phase 2 proposals and review progress in December 2022.</w:t>
      </w:r>
    </w:p>
    <w:p w14:paraId="17E8E475" w14:textId="266B6243" w:rsidR="00282120" w:rsidRPr="00870C7B" w:rsidRDefault="00282120" w:rsidP="009F4C66">
      <w:pPr>
        <w:pStyle w:val="ParagraphText-unnumbered"/>
      </w:pPr>
      <w:r w:rsidRPr="00282120">
        <w:rPr>
          <w:rStyle w:val="Bold"/>
        </w:rPr>
        <w:t>Recommendation 5:</w:t>
      </w:r>
      <w:r w:rsidRPr="00282120">
        <w:t xml:space="preserve"> Review Fleming Fund’s approach to asset management in the context of</w:t>
      </w:r>
      <w:r w:rsidR="00E239EC">
        <w:t xml:space="preserve"> Foreign, Commonwealth and Development Office</w:t>
      </w:r>
      <w:r w:rsidRPr="00282120">
        <w:t xml:space="preserve"> </w:t>
      </w:r>
      <w:r w:rsidR="00E239EC">
        <w:t>(</w:t>
      </w:r>
      <w:r w:rsidRPr="00282120">
        <w:t>FCDO</w:t>
      </w:r>
      <w:r w:rsidR="00E239EC">
        <w:t>)</w:t>
      </w:r>
      <w:r w:rsidRPr="00282120">
        <w:t xml:space="preserve"> rules and new DHSC assets polic</w:t>
      </w:r>
      <w:r w:rsidR="007E4665">
        <w:t>y</w:t>
      </w:r>
      <w:r w:rsidRPr="00282120">
        <w:t>. Where there are deviations, the approach to asset management</w:t>
      </w:r>
      <w:r w:rsidR="00047478">
        <w:t xml:space="preserve"> will be adjusted to ensure alignment</w:t>
      </w:r>
      <w:r w:rsidRPr="00282120">
        <w:t>. Where this is not possible, and exceptionally, a risk-based decision not to align to these policies must be documented.</w:t>
      </w:r>
      <w:r w:rsidR="007E4665">
        <w:t xml:space="preserve"> Assess progress by end of 2022.</w:t>
      </w:r>
    </w:p>
    <w:p w14:paraId="1BEB8F5A" w14:textId="0A27AF69" w:rsidR="00106EBD" w:rsidRDefault="00106EBD" w:rsidP="00DE053D">
      <w:pPr>
        <w:pStyle w:val="ParagraphText-unnumbered"/>
      </w:pPr>
      <w:r w:rsidRPr="00106EBD">
        <w:rPr>
          <w:rStyle w:val="Bold"/>
        </w:rPr>
        <w:t xml:space="preserve">Recommendation </w:t>
      </w:r>
      <w:r w:rsidR="00282120">
        <w:rPr>
          <w:rStyle w:val="Bold"/>
        </w:rPr>
        <w:t>6</w:t>
      </w:r>
      <w:r w:rsidR="009F4C66">
        <w:rPr>
          <w:rStyle w:val="Bold"/>
        </w:rPr>
        <w:t>:</w:t>
      </w:r>
      <w:r w:rsidRPr="00106EBD">
        <w:t xml:space="preserve"> </w:t>
      </w:r>
      <w:r w:rsidR="00C932C5">
        <w:t>Support the economic and business cases for investment in phase 2 by:</w:t>
      </w:r>
      <w:r w:rsidR="00E26C73">
        <w:t xml:space="preserve"> </w:t>
      </w:r>
      <w:r w:rsidR="00DE053D" w:rsidRPr="00085FC6">
        <w:t xml:space="preserve">a) </w:t>
      </w:r>
      <w:r w:rsidR="00C932C5" w:rsidRPr="00085FC6">
        <w:t>r</w:t>
      </w:r>
      <w:r w:rsidRPr="00085FC6">
        <w:t>eview</w:t>
      </w:r>
      <w:r w:rsidR="00C932C5" w:rsidRPr="00085FC6">
        <w:t>ing</w:t>
      </w:r>
      <w:r w:rsidRPr="00085FC6">
        <w:t xml:space="preserve"> the economic fellowship scheme in line with the principle of country ownership</w:t>
      </w:r>
      <w:r w:rsidR="00D3241C" w:rsidRPr="00085FC6">
        <w:t xml:space="preserve">, with a decision made </w:t>
      </w:r>
      <w:r w:rsidR="00085FC6" w:rsidRPr="00085FC6">
        <w:t>by the end of 2022</w:t>
      </w:r>
      <w:r w:rsidR="00C932C5" w:rsidRPr="00085FC6">
        <w:t>;</w:t>
      </w:r>
      <w:r w:rsidRPr="00106EBD">
        <w:t xml:space="preserve"> </w:t>
      </w:r>
      <w:r w:rsidR="00DE053D">
        <w:t>b)</w:t>
      </w:r>
      <w:r w:rsidR="001C709A" w:rsidRPr="0002098B">
        <w:rPr>
          <w:rFonts w:cs="Arial"/>
          <w:szCs w:val="24"/>
        </w:rPr>
        <w:t xml:space="preserve"> </w:t>
      </w:r>
      <w:r w:rsidR="005F65BE">
        <w:rPr>
          <w:rFonts w:cs="Arial"/>
          <w:szCs w:val="24"/>
        </w:rPr>
        <w:t>s</w:t>
      </w:r>
      <w:r w:rsidR="001C709A" w:rsidRPr="001C709A">
        <w:rPr>
          <w:rFonts w:cs="Arial"/>
          <w:color w:val="242424"/>
          <w:szCs w:val="24"/>
          <w:shd w:val="clear" w:color="auto" w:fill="FFFFFF"/>
        </w:rPr>
        <w:t>upport</w:t>
      </w:r>
      <w:r w:rsidR="00316DF4">
        <w:rPr>
          <w:rFonts w:cs="Arial"/>
          <w:color w:val="242424"/>
          <w:szCs w:val="24"/>
          <w:shd w:val="clear" w:color="auto" w:fill="FFFFFF"/>
        </w:rPr>
        <w:t>ing</w:t>
      </w:r>
      <w:r w:rsidR="001C709A" w:rsidRPr="001C709A">
        <w:rPr>
          <w:rFonts w:cs="Arial"/>
          <w:color w:val="242424"/>
          <w:szCs w:val="24"/>
          <w:shd w:val="clear" w:color="auto" w:fill="FFFFFF"/>
        </w:rPr>
        <w:t xml:space="preserve"> the rollout of the Framework </w:t>
      </w:r>
      <w:r w:rsidR="00B82BEF">
        <w:rPr>
          <w:rFonts w:cs="Arial"/>
          <w:color w:val="242424"/>
          <w:szCs w:val="24"/>
          <w:shd w:val="clear" w:color="auto" w:fill="FFFFFF"/>
        </w:rPr>
        <w:t xml:space="preserve">for assessing costs and benefits of AMR surveillance </w:t>
      </w:r>
      <w:r w:rsidR="001C709A" w:rsidRPr="001C709A">
        <w:rPr>
          <w:rFonts w:cs="Arial"/>
          <w:color w:val="242424"/>
          <w:szCs w:val="24"/>
          <w:shd w:val="clear" w:color="auto" w:fill="FFFFFF"/>
        </w:rPr>
        <w:t>as a core component of the country grants</w:t>
      </w:r>
      <w:r w:rsidR="00DA743A">
        <w:rPr>
          <w:rFonts w:cs="Arial"/>
          <w:color w:val="242424"/>
          <w:szCs w:val="24"/>
          <w:shd w:val="clear" w:color="auto" w:fill="FFFFFF"/>
        </w:rPr>
        <w:t xml:space="preserve"> throughout phase </w:t>
      </w:r>
      <w:r w:rsidR="00316DF4">
        <w:rPr>
          <w:rFonts w:cs="Arial"/>
          <w:color w:val="242424"/>
          <w:szCs w:val="24"/>
          <w:shd w:val="clear" w:color="auto" w:fill="FFFFFF"/>
        </w:rPr>
        <w:t>2</w:t>
      </w:r>
      <w:r w:rsidR="00DA743A">
        <w:rPr>
          <w:rFonts w:cs="Arial"/>
          <w:color w:val="242424"/>
          <w:szCs w:val="24"/>
          <w:shd w:val="clear" w:color="auto" w:fill="FFFFFF"/>
        </w:rPr>
        <w:t xml:space="preserve">, revising progress </w:t>
      </w:r>
      <w:r w:rsidR="00085FC6">
        <w:rPr>
          <w:rFonts w:cs="Arial"/>
          <w:color w:val="242424"/>
          <w:szCs w:val="24"/>
          <w:shd w:val="clear" w:color="auto" w:fill="FFFFFF"/>
        </w:rPr>
        <w:t>in December</w:t>
      </w:r>
      <w:r w:rsidR="00DA743A">
        <w:rPr>
          <w:rFonts w:cs="Arial"/>
          <w:color w:val="242424"/>
          <w:szCs w:val="24"/>
          <w:shd w:val="clear" w:color="auto" w:fill="FFFFFF"/>
        </w:rPr>
        <w:t xml:space="preserve"> 2022.</w:t>
      </w:r>
    </w:p>
    <w:p w14:paraId="52381D68" w14:textId="6E7EB809" w:rsidR="00106EBD" w:rsidRDefault="6EDE8C68" w:rsidP="003E23CA">
      <w:pPr>
        <w:pStyle w:val="ParagraphText-unnumbered"/>
      </w:pPr>
      <w:r w:rsidRPr="3DD03D47">
        <w:rPr>
          <w:rStyle w:val="Bold"/>
        </w:rPr>
        <w:t xml:space="preserve">Recommendation </w:t>
      </w:r>
      <w:r w:rsidR="4807B5A1" w:rsidRPr="3DD03D47">
        <w:rPr>
          <w:rStyle w:val="Bold"/>
        </w:rPr>
        <w:t>7</w:t>
      </w:r>
      <w:r>
        <w:t xml:space="preserve">: </w:t>
      </w:r>
      <w:r w:rsidR="3B3CB649">
        <w:t>Improve financial forecasting and reporting, including</w:t>
      </w:r>
      <w:r w:rsidR="4738C45C">
        <w:t>: a)</w:t>
      </w:r>
      <w:r w:rsidR="3B3CB649">
        <w:t xml:space="preserve"> w</w:t>
      </w:r>
      <w:r w:rsidR="78E145EB">
        <w:t>ork</w:t>
      </w:r>
      <w:r w:rsidR="3B3CB649">
        <w:t>ing</w:t>
      </w:r>
      <w:r w:rsidR="78E145EB">
        <w:t xml:space="preserve"> with </w:t>
      </w:r>
      <w:r w:rsidR="1F698598">
        <w:t xml:space="preserve">the </w:t>
      </w:r>
      <w:r w:rsidR="20C492BE">
        <w:t>GHS</w:t>
      </w:r>
      <w:r w:rsidR="1F698598">
        <w:t xml:space="preserve"> </w:t>
      </w:r>
      <w:r w:rsidR="70265B00">
        <w:t>p</w:t>
      </w:r>
      <w:r w:rsidR="1F698598">
        <w:t xml:space="preserve">rogramme </w:t>
      </w:r>
      <w:r w:rsidR="70265B00">
        <w:t>m</w:t>
      </w:r>
      <w:r w:rsidR="1F698598">
        <w:t xml:space="preserve">anagement </w:t>
      </w:r>
      <w:r w:rsidR="70265B00">
        <w:t>o</w:t>
      </w:r>
      <w:r w:rsidR="1F698598">
        <w:t xml:space="preserve">ffice </w:t>
      </w:r>
      <w:r w:rsidR="78E145EB">
        <w:t>to increase</w:t>
      </w:r>
      <w:r w:rsidR="332DB028">
        <w:t xml:space="preserve"> the accuracy and effectiveness of </w:t>
      </w:r>
      <w:r w:rsidR="78E145EB">
        <w:t>finance management tools.</w:t>
      </w:r>
      <w:r w:rsidR="22B5D21F">
        <w:t xml:space="preserve"> </w:t>
      </w:r>
      <w:r w:rsidR="1186D0FE">
        <w:t>This work will be reviewed in December 2022</w:t>
      </w:r>
      <w:r w:rsidR="4738C45C">
        <w:t xml:space="preserve">; b) </w:t>
      </w:r>
      <w:r w:rsidR="1C903ACA">
        <w:t>w</w:t>
      </w:r>
      <w:r w:rsidR="06BD071B">
        <w:t xml:space="preserve">orking with the MA and other FF partners </w:t>
      </w:r>
      <w:r w:rsidR="15F4EBBE">
        <w:t xml:space="preserve">to </w:t>
      </w:r>
      <w:r w:rsidR="398CEA05">
        <w:t xml:space="preserve">effectively monitor spend and improve the accuracy of forecasting. </w:t>
      </w:r>
    </w:p>
    <w:p w14:paraId="1BDDC2B4" w14:textId="0E31E609" w:rsidR="0060113A" w:rsidRDefault="0060113A" w:rsidP="003E23CA">
      <w:pPr>
        <w:pStyle w:val="ParagraphText-unnumbered"/>
      </w:pPr>
      <w:r w:rsidRPr="0060113A">
        <w:rPr>
          <w:rStyle w:val="Bold"/>
        </w:rPr>
        <w:t xml:space="preserve">Recommendation </w:t>
      </w:r>
      <w:r w:rsidR="00282120">
        <w:rPr>
          <w:rStyle w:val="Bold"/>
        </w:rPr>
        <w:t>8</w:t>
      </w:r>
      <w:r w:rsidRPr="0060113A">
        <w:rPr>
          <w:rStyle w:val="Bold"/>
        </w:rPr>
        <w:t>:</w:t>
      </w:r>
      <w:r w:rsidRPr="0060113A">
        <w:t xml:space="preserve"> </w:t>
      </w:r>
      <w:r w:rsidR="004011D7">
        <w:t>C</w:t>
      </w:r>
      <w:r w:rsidRPr="0060113A">
        <w:t xml:space="preserve">onduct country visits to </w:t>
      </w:r>
      <w:r w:rsidR="70818AEF">
        <w:t xml:space="preserve">a set of priority countries to </w:t>
      </w:r>
      <w:r w:rsidR="002252CA">
        <w:t>strengthen relationships</w:t>
      </w:r>
      <w:r w:rsidR="000D2475">
        <w:t>,</w:t>
      </w:r>
      <w:r w:rsidR="002252CA">
        <w:t xml:space="preserve"> enhance oversight of implementation</w:t>
      </w:r>
      <w:r w:rsidR="00052C3D">
        <w:t xml:space="preserve">, </w:t>
      </w:r>
      <w:r w:rsidR="73EA6721">
        <w:t xml:space="preserve">deliver on assurance requirements </w:t>
      </w:r>
      <w:r w:rsidR="00052C3D">
        <w:t xml:space="preserve">and </w:t>
      </w:r>
      <w:r w:rsidR="00052C3D" w:rsidRPr="0060113A">
        <w:t xml:space="preserve">support </w:t>
      </w:r>
      <w:r w:rsidR="00052C3D">
        <w:t xml:space="preserve">results </w:t>
      </w:r>
      <w:r w:rsidR="00052C3D" w:rsidRPr="0060113A">
        <w:t>monitoring</w:t>
      </w:r>
      <w:r w:rsidR="00DA743A">
        <w:t>, revising progress at the end of 2022</w:t>
      </w:r>
      <w:r w:rsidRPr="0060113A">
        <w:t>.</w:t>
      </w:r>
    </w:p>
    <w:p w14:paraId="66C5DADB" w14:textId="1DD8E29A" w:rsidR="00F67666" w:rsidRPr="00F67666" w:rsidRDefault="0089289D" w:rsidP="00F67666">
      <w:pPr>
        <w:pStyle w:val="ParagraphText-unnumbered"/>
      </w:pPr>
      <w:r w:rsidRPr="0089289D">
        <w:rPr>
          <w:rStyle w:val="Bold"/>
        </w:rPr>
        <w:t xml:space="preserve">Recommendation </w:t>
      </w:r>
      <w:r w:rsidR="00282120">
        <w:rPr>
          <w:rStyle w:val="Bold"/>
        </w:rPr>
        <w:t>9</w:t>
      </w:r>
      <w:r w:rsidRPr="0089289D">
        <w:rPr>
          <w:rStyle w:val="Bold"/>
        </w:rPr>
        <w:t>:</w:t>
      </w:r>
      <w:r w:rsidRPr="0089289D">
        <w:t xml:space="preserve"> </w:t>
      </w:r>
      <w:r w:rsidR="00CE5BF9">
        <w:t>Further e</w:t>
      </w:r>
      <w:r w:rsidRPr="0089289D">
        <w:t>mbed adaptive management</w:t>
      </w:r>
      <w:r w:rsidR="005A0276">
        <w:t xml:space="preserve"> approaches</w:t>
      </w:r>
      <w:r w:rsidRPr="0089289D">
        <w:t xml:space="preserve"> into </w:t>
      </w:r>
      <w:r w:rsidR="00AC6BA2">
        <w:t>phase 2</w:t>
      </w:r>
      <w:r w:rsidR="00584816">
        <w:t xml:space="preserve"> </w:t>
      </w:r>
      <w:r w:rsidR="00324BE6">
        <w:t>delivery</w:t>
      </w:r>
      <w:r w:rsidR="25FCEA17">
        <w:t xml:space="preserve"> by: a) s</w:t>
      </w:r>
      <w:r w:rsidR="5A38D735">
        <w:t>upporting</w:t>
      </w:r>
      <w:r w:rsidR="00AD659F">
        <w:t xml:space="preserve"> the inclusion of</w:t>
      </w:r>
      <w:r w:rsidR="00324BE6">
        <w:t xml:space="preserve"> adaptive management in</w:t>
      </w:r>
      <w:r w:rsidR="00AD659F">
        <w:t>to</w:t>
      </w:r>
      <w:r w:rsidR="00324BE6">
        <w:t xml:space="preserve"> </w:t>
      </w:r>
      <w:r w:rsidR="00584816">
        <w:t>grant agreements</w:t>
      </w:r>
      <w:r w:rsidR="00324BE6">
        <w:t xml:space="preserve"> and monitoring progress </w:t>
      </w:r>
      <w:r w:rsidR="00AD659F">
        <w:t>(</w:t>
      </w:r>
      <w:r w:rsidR="00004623">
        <w:t xml:space="preserve">for example </w:t>
      </w:r>
      <w:r w:rsidR="00324BE6">
        <w:t>quarterly reviews</w:t>
      </w:r>
      <w:r w:rsidR="732106A5">
        <w:t>)</w:t>
      </w:r>
      <w:r w:rsidR="00DA743A">
        <w:t xml:space="preserve"> by autumn 2022</w:t>
      </w:r>
      <w:r w:rsidR="732106A5">
        <w:t>; b)</w:t>
      </w:r>
      <w:r w:rsidR="241DF55C">
        <w:t xml:space="preserve"> implementing the lessons from the regional grants on the role of early reviews of grant performance trajectory and optimism bias.</w:t>
      </w:r>
      <w:r w:rsidR="00DA743A">
        <w:t xml:space="preserve"> This ongoing work should be reviewed at the end of 2022.</w:t>
      </w:r>
    </w:p>
    <w:p w14:paraId="2895CE25" w14:textId="77777777" w:rsidR="007E4665" w:rsidRDefault="007E4665" w:rsidP="00856E4E">
      <w:pPr>
        <w:pStyle w:val="Heading5"/>
        <w:sectPr w:rsidR="007E4665" w:rsidSect="007E4665">
          <w:headerReference w:type="even" r:id="rId30"/>
          <w:pgSz w:w="11906" w:h="16838" w:code="9"/>
          <w:pgMar w:top="1644" w:right="1134" w:bottom="1134" w:left="1134" w:header="567" w:footer="567" w:gutter="0"/>
          <w:cols w:space="720"/>
          <w:docGrid w:linePitch="326"/>
        </w:sectPr>
      </w:pPr>
    </w:p>
    <w:p w14:paraId="121BEA74" w14:textId="5AB95474" w:rsidR="00E769CB" w:rsidRDefault="00E769CB" w:rsidP="00E769CB">
      <w:pPr>
        <w:pStyle w:val="Heading2"/>
      </w:pPr>
      <w:r w:rsidRPr="00E769CB">
        <w:lastRenderedPageBreak/>
        <w:t>2 Theory of Change</w:t>
      </w:r>
    </w:p>
    <w:p w14:paraId="60B2374C" w14:textId="12E9BF15" w:rsidR="00856E4E" w:rsidRDefault="00E769CB" w:rsidP="00856E4E">
      <w:pPr>
        <w:pStyle w:val="Heading5"/>
      </w:pPr>
      <w:r w:rsidRPr="00856E4E">
        <w:rPr>
          <w:noProof/>
        </w:rPr>
        <w:drawing>
          <wp:anchor distT="0" distB="0" distL="114300" distR="114300" simplePos="0" relativeHeight="251658245" behindDoc="0" locked="0" layoutInCell="1" allowOverlap="1" wp14:anchorId="2A7A88DB" wp14:editId="5F38279E">
            <wp:simplePos x="0" y="0"/>
            <wp:positionH relativeFrom="margin">
              <wp:align>left</wp:align>
            </wp:positionH>
            <wp:positionV relativeFrom="paragraph">
              <wp:posOffset>318770</wp:posOffset>
            </wp:positionV>
            <wp:extent cx="7867291" cy="5205717"/>
            <wp:effectExtent l="0" t="0" r="635" b="0"/>
            <wp:wrapTopAndBottom/>
            <wp:docPr id="2" name="Picture 2" descr="This theory of change depicts the Fleming Fund outputs as wedges in a circle all contributing to a country enabling environment. The outputs begin in 2016. These outputs are: 1, lab capacity and surveillance systems established. 2, AMR workforce technical capacity developed. 3, strong country AMR governance and leadership. 4, improved awareness and understanding of AMR. 5, global, regional and national solidarity and consensus created.&#10;A smaller circle of intermediate outcomes make up AMR data from countries. These are 1, Quality data produced, 2 quality data analyses conducted, 3, quality data shared.&#10;&#10;The outputs and intermediate outcomes are to both lead to the long-term outcomes by 2022:&#10;1. decision makers use quality data for evidence informed health policy and programming.&#10;2. Political space created to change and fund health systems in response to AMR data.&#10;3. Decision makers convinced of need for action on AMR.&#10;The second group of long term outcomes are:&#10;1. Use of antimicrobial medicines optimised.&#10;2. Sustainable investment at country and global levels to counter AMR in place.&#10;3. Strong, resilient and integrated health systems with antimicrobial stewardship practices embedded.&#10;&#10;The long term outcomes are supposed to lead to the following impacts by 2030 and beyond:&#10;1. Support the achievement of sustainable development goals&#10;2. Global population (including UK) is safe and secure from global health security threats.&#10;3. UK leadership and coordination in international partnerships is increased.&#10;&#10;Under the outputs, outcomes and impact is a reminder of the Fleming Fund principles: country ownership, one health, alignment and sustain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theory of change depicts the Fleming Fund outputs as wedges in a circle all contributing to a country enabling environment. The outputs begin in 2016. These outputs are: 1, lab capacity and surveillance systems established. 2, AMR workforce technical capacity developed. 3, strong country AMR governance and leadership. 4, improved awareness and understanding of AMR. 5, global, regional and national solidarity and consensus created.&#10;A smaller circle of intermediate outcomes make up AMR data from countries. These are 1, Quality data produced, 2 quality data analyses conducted, 3, quality data shared.&#10;&#10;The outputs and intermediate outcomes are to both lead to the long-term outcomes by 2022:&#10;1. decision makers use quality data for evidence informed health policy and programming.&#10;2. Political space created to change and fund health systems in response to AMR data.&#10;3. Decision makers convinced of need for action on AMR.&#10;The second group of long term outcomes are:&#10;1. Use of antimicrobial medicines optimised.&#10;2. Sustainable investment at country and global levels to counter AMR in place.&#10;3. Strong, resilient and integrated health systems with antimicrobial stewardship practices embedded.&#10;&#10;The long term outcomes are supposed to lead to the following impacts by 2030 and beyond:&#10;1. Support the achievement of sustainable development goals&#10;2. Global population (including UK) is safe and secure from global health security threats.&#10;3. UK leadership and coordination in international partnerships is increased.&#10;&#10;Under the outputs, outcomes and impact is a reminder of the Fleming Fund principles: country ownership, one health, alignment and sustainability."/>
                    <pic:cNvPicPr/>
                  </pic:nvPicPr>
                  <pic:blipFill rotWithShape="1">
                    <a:blip r:embed="rId31">
                      <a:extLst>
                        <a:ext uri="{28A0092B-C50C-407E-A947-70E740481C1C}">
                          <a14:useLocalDpi xmlns:a14="http://schemas.microsoft.com/office/drawing/2010/main" val="0"/>
                        </a:ext>
                      </a:extLst>
                    </a:blip>
                    <a:srcRect t="7482" r="-709"/>
                    <a:stretch/>
                  </pic:blipFill>
                  <pic:spPr bwMode="auto">
                    <a:xfrm>
                      <a:off x="0" y="0"/>
                      <a:ext cx="7867291" cy="52057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6E4E" w:rsidRPr="00856E4E">
        <w:t xml:space="preserve">Figure </w:t>
      </w:r>
      <w:r w:rsidR="00856E4E">
        <w:t>1</w:t>
      </w:r>
      <w:r w:rsidR="00856E4E" w:rsidRPr="00856E4E">
        <w:t>: Original Theory of Change (</w:t>
      </w:r>
      <w:r w:rsidR="00AC6BA2">
        <w:t>phase 1</w:t>
      </w:r>
      <w:r w:rsidR="00856E4E" w:rsidRPr="00856E4E">
        <w:t>)</w:t>
      </w:r>
    </w:p>
    <w:p w14:paraId="34FCC611" w14:textId="6E157A25" w:rsidR="004C2EBF" w:rsidRDefault="004C2EBF" w:rsidP="004C2E4A">
      <w:pPr>
        <w:pStyle w:val="Heading5"/>
      </w:pPr>
      <w:r>
        <w:lastRenderedPageBreak/>
        <w:t xml:space="preserve">Figure </w:t>
      </w:r>
      <w:r w:rsidR="00856E4E">
        <w:t>2</w:t>
      </w:r>
      <w:r>
        <w:t>: Revised Theory of Change (</w:t>
      </w:r>
      <w:r w:rsidR="00AC6BA2">
        <w:t>phase 2</w:t>
      </w:r>
      <w:r>
        <w:t>)</w:t>
      </w:r>
    </w:p>
    <w:p w14:paraId="23A9E145" w14:textId="31248537" w:rsidR="001A2C3B" w:rsidRDefault="006F2A5A">
      <w:pPr>
        <w:sectPr w:rsidR="001A2C3B" w:rsidSect="001A2C3B">
          <w:pgSz w:w="16838" w:h="11906" w:orient="landscape" w:code="9"/>
          <w:pgMar w:top="1134" w:right="1644" w:bottom="1134" w:left="1134" w:header="567" w:footer="567" w:gutter="0"/>
          <w:cols w:space="720"/>
          <w:docGrid w:linePitch="326"/>
        </w:sectPr>
      </w:pPr>
      <w:r w:rsidRPr="004C2EBF">
        <w:rPr>
          <w:noProof/>
        </w:rPr>
        <w:drawing>
          <wp:anchor distT="0" distB="0" distL="114300" distR="114300" simplePos="0" relativeHeight="251658241" behindDoc="0" locked="0" layoutInCell="1" allowOverlap="1" wp14:anchorId="68DE007C" wp14:editId="675BCED3">
            <wp:simplePos x="0" y="0"/>
            <wp:positionH relativeFrom="margin">
              <wp:posOffset>-23546</wp:posOffset>
            </wp:positionH>
            <wp:positionV relativeFrom="paragraph">
              <wp:posOffset>251837</wp:posOffset>
            </wp:positionV>
            <wp:extent cx="9388475" cy="4780915"/>
            <wp:effectExtent l="0" t="0" r="3175" b="635"/>
            <wp:wrapSquare wrapText="bothSides"/>
            <wp:docPr id="3" name="Picture 3" descr="This theory of change depicts the Fleming Fund as a series of interlocking cogs that help one another turn. It starts with outputs in phase 1, intermediate outcomes in phase 2, long term outcomes in phase 3 and impact beyond a phase 3.&#10;&#10;The outputs contributing to &quot;country enabling environment supported by regional and global capacity&quot; begin in 2016. These outputs are: 1, quality lab capacity and surveillance systems established. 2, AMR workforce technical capacity developed. 3, strong country AMR governance and leadership. 4, improved awareness and understanding of AMR.&#10;&#10;The intermediate outcomes affected by outputs begin in phase 2 and all contribute to &quot;relevant data and analysis from countries&quot;.&#10;These are 1, Quality AMR/C/U burden data produced, 2 quality analyses conducted, 3, quality analyses shared with decision makers.&#10;&#10;The phase 2 intermediate outcomes then lead to the first set of long-term outcomes, beginning in 2027. These are&#10;1. decision makers use quality AMR/C/U data and economic analysis to change health policy and programming.&#10;2. Political space created to change and fund one health-related systems and policies in response to AMR data and analyses.&#10;3. Decision makers convinced of need for action on AMR.&#10;4. Sustainable investment at country and global levels to counter AMR in place.&#10;Those interlink with a second set of long term outcomes.&#10;1. Use and quality of antimicrobial medicines optimised across all sectors.&#10;2. Fleming Fund countries are able and prepared to Prevent, Detect and Respond to outbreaks and pandemics from all origins.&#10;3. Stronger, more resilient and integrated health and food production systems ensure AMR is continually monitored and addressed.&#10;&#10;Finally, the second set of long-term outcomes will bring about a reduction in the prevalance of AMR and associated morbidity and mortality for all.&#10;&#10;This will lead to the following impacts by 2030 and beyond:&#10;1. Support the achievement of sustainable development goals&#10;2. Global population (including UK) is safe and secure from global health security threats.&#10;3. UK leadership and coordination in international partnerships is increased.&#10;&#10;Under the outputs, outcomes and impact is a reminder of the Fleming Fund principles: country ownership, one health, alignment, sustainability and gender and equ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theory of change depicts the Fleming Fund as a series of interlocking cogs that help one another turn. It starts with outputs in phase 1, intermediate outcomes in phase 2, long term outcomes in phase 3 and impact beyond a phase 3.&#10;&#10;The outputs contributing to &quot;country enabling environment supported by regional and global capacity&quot; begin in 2016. These outputs are: 1, quality lab capacity and surveillance systems established. 2, AMR workforce technical capacity developed. 3, strong country AMR governance and leadership. 4, improved awareness and understanding of AMR.&#10;&#10;The intermediate outcomes affected by outputs begin in phase 2 and all contribute to &quot;relevant data and analysis from countries&quot;.&#10;These are 1, Quality AMR/C/U burden data produced, 2 quality analyses conducted, 3, quality analyses shared with decision makers.&#10;&#10;The phase 2 intermediate outcomes then lead to the first set of long-term outcomes, beginning in 2027. These are&#10;1. decision makers use quality AMR/C/U data and economic analysis to change health policy and programming.&#10;2. Political space created to change and fund one health-related systems and policies in response to AMR data and analyses.&#10;3. Decision makers convinced of need for action on AMR.&#10;4. Sustainable investment at country and global levels to counter AMR in place.&#10;Those interlink with a second set of long term outcomes.&#10;1. Use and quality of antimicrobial medicines optimised across all sectors.&#10;2. Fleming Fund countries are able and prepared to Prevent, Detect and Respond to outbreaks and pandemics from all origins.&#10;3. Stronger, more resilient and integrated health and food production systems ensure AMR is continually monitored and addressed.&#10;&#10;Finally, the second set of long-term outcomes will bring about a reduction in the prevalance of AMR and associated morbidity and mortality for all.&#10;&#10;This will lead to the following impacts by 2030 and beyond:&#10;1. Support the achievement of sustainable development goals&#10;2. Global population (including UK) is safe and secure from global health security threats.&#10;3. UK leadership and coordination in international partnerships is increased.&#10;&#10;Under the outputs, outcomes and impact is a reminder of the Fleming Fund principles: country ownership, one health, alignment, sustainability and gender and equity."/>
                    <pic:cNvPicPr/>
                  </pic:nvPicPr>
                  <pic:blipFill>
                    <a:blip r:embed="rId32">
                      <a:extLst>
                        <a:ext uri="{28A0092B-C50C-407E-A947-70E740481C1C}">
                          <a14:useLocalDpi xmlns:a14="http://schemas.microsoft.com/office/drawing/2010/main" val="0"/>
                        </a:ext>
                      </a:extLst>
                    </a:blip>
                    <a:stretch>
                      <a:fillRect/>
                    </a:stretch>
                  </pic:blipFill>
                  <pic:spPr>
                    <a:xfrm>
                      <a:off x="0" y="0"/>
                      <a:ext cx="9388475" cy="4780915"/>
                    </a:xfrm>
                    <a:prstGeom prst="rect">
                      <a:avLst/>
                    </a:prstGeom>
                  </pic:spPr>
                </pic:pic>
              </a:graphicData>
            </a:graphic>
            <wp14:sizeRelH relativeFrom="page">
              <wp14:pctWidth>0</wp14:pctWidth>
            </wp14:sizeRelH>
            <wp14:sizeRelV relativeFrom="page">
              <wp14:pctHeight>0</wp14:pctHeight>
            </wp14:sizeRelV>
          </wp:anchor>
        </w:drawing>
      </w:r>
      <w:r w:rsidR="004C2E4A">
        <w:br w:type="page"/>
      </w:r>
    </w:p>
    <w:p w14:paraId="0119959F" w14:textId="77777777" w:rsidR="00E769CB" w:rsidRPr="00E769CB" w:rsidRDefault="00E769CB" w:rsidP="00E769CB">
      <w:pPr>
        <w:pStyle w:val="Heading3"/>
      </w:pPr>
      <w:r w:rsidRPr="00E769CB">
        <w:lastRenderedPageBreak/>
        <w:t>2.1 Summary of changes</w:t>
      </w:r>
    </w:p>
    <w:p w14:paraId="4D8D9CFF" w14:textId="3E3A8A4E" w:rsidR="00E769CB" w:rsidRPr="00E769CB" w:rsidRDefault="00E769CB" w:rsidP="00E769CB">
      <w:pPr>
        <w:pStyle w:val="ParagraphText-unnumbered"/>
        <w:rPr>
          <w:rStyle w:val="Bold"/>
          <w:b w:val="0"/>
        </w:rPr>
      </w:pPr>
      <w:r w:rsidRPr="00E769CB">
        <w:rPr>
          <w:rStyle w:val="Bold"/>
          <w:b w:val="0"/>
        </w:rPr>
        <w:t xml:space="preserve">The Fleming Fund has developed a new Theory of Change (ToC) (see </w:t>
      </w:r>
      <w:r>
        <w:rPr>
          <w:rStyle w:val="Bold"/>
          <w:b w:val="0"/>
        </w:rPr>
        <w:t>above</w:t>
      </w:r>
      <w:r w:rsidRPr="00E769CB">
        <w:rPr>
          <w:rStyle w:val="Bold"/>
          <w:b w:val="0"/>
        </w:rPr>
        <w:t>, figure 2) for phase 2 of the programme to reflect both the progress made in phase 1 and the new strategic shifts in phase 2. The visual use of cog wheels shows how outputs intend to lead to intermediate and long-term outcomes. The inclusion of a more detailed timeline, the new principle of "gender and equity" and specific descriptions of outcomes reflect the Fleming Fund's short-, medium- and long-term goals.</w:t>
      </w:r>
    </w:p>
    <w:p w14:paraId="18D4F100" w14:textId="1624D3C9" w:rsidR="00E769CB" w:rsidRPr="00E769CB" w:rsidRDefault="00E769CB" w:rsidP="00E769CB">
      <w:pPr>
        <w:pStyle w:val="ParagraphText-unnumbered"/>
        <w:rPr>
          <w:rStyle w:val="Bold"/>
          <w:b w:val="0"/>
        </w:rPr>
      </w:pPr>
      <w:r w:rsidRPr="00E769CB">
        <w:rPr>
          <w:rStyle w:val="Bold"/>
          <w:b w:val="0"/>
        </w:rPr>
        <w:t xml:space="preserve">The new ToC has been tested with partners, who will align their phase 2 proposals to support achievement of the revised outputs and outcomes. Phase 2 outcomes will be assessed against the new ToC, as well as the new Results Framework which is currently under development. However, the project's progress in 2021 has been assessed against the original ToC (see </w:t>
      </w:r>
      <w:r>
        <w:rPr>
          <w:rStyle w:val="Bold"/>
          <w:b w:val="0"/>
        </w:rPr>
        <w:t>above</w:t>
      </w:r>
      <w:r w:rsidRPr="00E769CB">
        <w:rPr>
          <w:rStyle w:val="Bold"/>
          <w:b w:val="0"/>
        </w:rPr>
        <w:t>, figure 1).</w:t>
      </w:r>
    </w:p>
    <w:p w14:paraId="60D6C736" w14:textId="3A9247B0" w:rsidR="00BD08E6" w:rsidRDefault="00BD08E6" w:rsidP="00BD08E6">
      <w:pPr>
        <w:pStyle w:val="Boxedtext-greenborder"/>
      </w:pPr>
      <w:r w:rsidRPr="00BD08E6">
        <w:rPr>
          <w:rStyle w:val="Bold"/>
        </w:rPr>
        <w:t>Recommendation 1:</w:t>
      </w:r>
      <w:r w:rsidRPr="00BD08E6">
        <w:t xml:space="preserve"> </w:t>
      </w:r>
      <w:r w:rsidR="00EA47FA" w:rsidRPr="00EA47FA">
        <w:t>Develop and disseminate phase 2 Theory of Change (ToC) narrative with partners to support project coherence and finalise the revised diagram. Ensure partner proposals are aligned to the ToC, such as basing their own ToC on it.</w:t>
      </w:r>
    </w:p>
    <w:p w14:paraId="0FF9FA9F" w14:textId="6FFD3B3F" w:rsidR="00154E41" w:rsidRDefault="009C3CCA" w:rsidP="00154E41">
      <w:pPr>
        <w:pStyle w:val="Heading3"/>
      </w:pPr>
      <w:r>
        <w:t xml:space="preserve">2.2 </w:t>
      </w:r>
      <w:r w:rsidR="007F2CD8">
        <w:t>P</w:t>
      </w:r>
      <w:r>
        <w:t xml:space="preserve">rogress towards </w:t>
      </w:r>
      <w:r w:rsidR="00154E41" w:rsidRPr="00154E41">
        <w:t xml:space="preserve">outcomes and impact </w:t>
      </w:r>
    </w:p>
    <w:p w14:paraId="79461DFE" w14:textId="3444F57A" w:rsidR="008C3F49" w:rsidRDefault="004C2E4A" w:rsidP="00806EF0">
      <w:pPr>
        <w:pStyle w:val="ParagraphText-unnumbered"/>
      </w:pPr>
      <w:r>
        <w:t xml:space="preserve">Overall, the Fleming Fund has made good progress against phase 1 outcomes. Improved laboratory capacity and input into global surveillance systems have contributed to an increase in the quantity and quality of produced and shared AMR/C/U data from Fleming Fund countries. </w:t>
      </w:r>
      <w:r w:rsidR="008C3F49" w:rsidRPr="008C3F49">
        <w:t>Evidence of longer-term outcomes is already beginning to show,</w:t>
      </w:r>
      <w:r w:rsidR="008C3F49">
        <w:t xml:space="preserve"> such as the ability of healthcare systems to prepare for both AMR and other health threats.</w:t>
      </w:r>
    </w:p>
    <w:p w14:paraId="28A97C4A" w14:textId="126F10E5" w:rsidR="008C3F49" w:rsidRDefault="004C2E4A" w:rsidP="00806EF0">
      <w:pPr>
        <w:pStyle w:val="ParagraphText-unnumbered"/>
      </w:pPr>
      <w:r>
        <w:t>For example,</w:t>
      </w:r>
      <w:r w:rsidR="008C3F49">
        <w:t xml:space="preserve"> regional grant</w:t>
      </w:r>
      <w:r>
        <w:t xml:space="preserve"> </w:t>
      </w:r>
      <w:r w:rsidR="00F55079">
        <w:t>5</w:t>
      </w:r>
      <w:r>
        <w:t xml:space="preserve"> AMR Whole Genome Sequencing centres helped to sequence around 13,000 genomes, the data of which was shared in public databases worldwide. </w:t>
      </w:r>
      <w:r w:rsidR="008C3F49">
        <w:t>This work then contributed to the discovery of the Omicron variant, showing that Fleming Fund activities on AMR can be flexed to deal with other health threats.</w:t>
      </w:r>
    </w:p>
    <w:p w14:paraId="549578C7" w14:textId="66910321" w:rsidR="0055464D" w:rsidRDefault="0055464D" w:rsidP="00806EF0">
      <w:pPr>
        <w:pStyle w:val="ParagraphText-unnumbered"/>
      </w:pPr>
      <w:r>
        <w:t xml:space="preserve">However, </w:t>
      </w:r>
      <w:r w:rsidR="00112588">
        <w:t>COVID-19 continued to influence grantees’ capacity</w:t>
      </w:r>
      <w:r w:rsidR="005D5B7B">
        <w:t xml:space="preserve"> to meet </w:t>
      </w:r>
      <w:r w:rsidR="00C155E8">
        <w:t>their previous goals</w:t>
      </w:r>
      <w:r w:rsidR="00071C6D">
        <w:t xml:space="preserve">, in particular the Fellowship scheme as fellows were required to </w:t>
      </w:r>
      <w:r w:rsidR="00C155E8">
        <w:t>spend more time responding to the pandemic</w:t>
      </w:r>
      <w:r w:rsidR="00161B54">
        <w:t xml:space="preserve"> (see </w:t>
      </w:r>
      <w:hyperlink w:anchor="_4._Project_performance" w:history="1">
        <w:r w:rsidR="0055280E">
          <w:rPr>
            <w:rStyle w:val="Hyperlink"/>
          </w:rPr>
          <w:t>project performance</w:t>
        </w:r>
      </w:hyperlink>
      <w:r w:rsidR="009A2A91">
        <w:rPr>
          <w:rStyle w:val="Hyperlink"/>
        </w:rPr>
        <w:t xml:space="preserve"> section</w:t>
      </w:r>
      <w:r w:rsidR="00161B54">
        <w:t xml:space="preserve"> for more detail)</w:t>
      </w:r>
      <w:r w:rsidR="00C155E8">
        <w:t>.</w:t>
      </w:r>
      <w:r w:rsidR="00161B54">
        <w:t xml:space="preserve"> </w:t>
      </w:r>
      <w:r w:rsidR="005C5C0A">
        <w:t>The Fl</w:t>
      </w:r>
      <w:r w:rsidR="00497EF8">
        <w:t xml:space="preserve">eming Fund </w:t>
      </w:r>
      <w:r w:rsidR="00753A4D">
        <w:t xml:space="preserve">aims to ensure </w:t>
      </w:r>
      <w:r w:rsidR="00F7562C">
        <w:t xml:space="preserve">grantees have the capacity to deliver remote working where possible, as well as provide grantees with the flexibility to adapt to unforeseen </w:t>
      </w:r>
      <w:r w:rsidR="00B97C34">
        <w:t xml:space="preserve">circumstances in phase 2 (see </w:t>
      </w:r>
      <w:hyperlink w:anchor="_8._Monitoring_evaluation" w:history="1">
        <w:r w:rsidR="000E2CA8">
          <w:rPr>
            <w:rStyle w:val="Hyperlink"/>
          </w:rPr>
          <w:t xml:space="preserve">MEL </w:t>
        </w:r>
        <w:r w:rsidR="00B97C34" w:rsidRPr="00B97C34">
          <w:rPr>
            <w:rStyle w:val="Hyperlink"/>
          </w:rPr>
          <w:t>section</w:t>
        </w:r>
      </w:hyperlink>
      <w:r w:rsidR="00B97C34">
        <w:t xml:space="preserve"> </w:t>
      </w:r>
      <w:r w:rsidR="000E2CA8">
        <w:t>for more</w:t>
      </w:r>
      <w:r w:rsidR="00B97C34">
        <w:t xml:space="preserve"> detail)</w:t>
      </w:r>
      <w:r w:rsidR="009A2A91">
        <w:t>.</w:t>
      </w:r>
      <w:r w:rsidR="00071C6D">
        <w:t xml:space="preserve"> </w:t>
      </w:r>
    </w:p>
    <w:p w14:paraId="21666478" w14:textId="22F077CE" w:rsidR="000B7483" w:rsidRPr="000B7483" w:rsidRDefault="008C3F49">
      <w:pPr>
        <w:pStyle w:val="ParagraphText-unnumbered"/>
      </w:pPr>
      <w:r w:rsidRPr="000B7483">
        <w:t xml:space="preserve">Grantees </w:t>
      </w:r>
      <w:r w:rsidRPr="0070627B">
        <w:t>are</w:t>
      </w:r>
      <w:r w:rsidRPr="000B7483">
        <w:t xml:space="preserve"> reaching a stage where they are able to publish data analysis based on stu</w:t>
      </w:r>
      <w:r w:rsidRPr="003A2195">
        <w:t>die</w:t>
      </w:r>
      <w:r w:rsidRPr="00B7408D">
        <w:t xml:space="preserve">s funded at least in part by the Fleming Fund. The </w:t>
      </w:r>
      <w:r w:rsidRPr="00EA5044">
        <w:t xml:space="preserve">most notable of these is the </w:t>
      </w:r>
      <w:r w:rsidRPr="00A8253B">
        <w:t>GRAM pro</w:t>
      </w:r>
      <w:r w:rsidRPr="005952A9">
        <w:t>ject’</w:t>
      </w:r>
      <w:r w:rsidRPr="00225002">
        <w:t xml:space="preserve">s analysis of the global burden of AMR, </w:t>
      </w:r>
      <w:r w:rsidRPr="00E14B85">
        <w:t xml:space="preserve">whose findings were shared with </w:t>
      </w:r>
      <w:r w:rsidRPr="00E14B85">
        <w:lastRenderedPageBreak/>
        <w:t xml:space="preserve">the G7 (see </w:t>
      </w:r>
      <w:hyperlink w:anchor="_1.2_Summary_of" w:history="1">
        <w:r w:rsidRPr="009A2A91">
          <w:rPr>
            <w:rStyle w:val="Hyperlink"/>
          </w:rPr>
          <w:t>page 5</w:t>
        </w:r>
      </w:hyperlink>
      <w:r w:rsidRPr="000B7483">
        <w:t xml:space="preserve"> of this report). Thanks to the analysis </w:t>
      </w:r>
      <w:r w:rsidR="001C1E0A" w:rsidRPr="000B7483">
        <w:t xml:space="preserve">of data </w:t>
      </w:r>
      <w:r w:rsidRPr="000B7483">
        <w:t>and</w:t>
      </w:r>
      <w:r w:rsidR="001C1E0A" w:rsidRPr="000B7483">
        <w:t xml:space="preserve"> its</w:t>
      </w:r>
      <w:r w:rsidRPr="000B7483">
        <w:t xml:space="preserve"> dissemination</w:t>
      </w:r>
      <w:r w:rsidR="001C1E0A" w:rsidRPr="003A2195">
        <w:t xml:space="preserve"> </w:t>
      </w:r>
      <w:r w:rsidRPr="003A2195">
        <w:t>to</w:t>
      </w:r>
      <w:r w:rsidRPr="00B7408D">
        <w:t xml:space="preserve"> key decision makers, the Fleming Fund has </w:t>
      </w:r>
      <w:r w:rsidRPr="00EA5044">
        <w:t>created a good foundation to achieve the lo</w:t>
      </w:r>
      <w:r w:rsidRPr="00A8253B">
        <w:t>nger</w:t>
      </w:r>
      <w:r w:rsidR="000B7483">
        <w:t>-</w:t>
      </w:r>
      <w:r w:rsidRPr="000B7483">
        <w:t xml:space="preserve">term outcome of ensuring </w:t>
      </w:r>
      <w:r w:rsidR="001C1E0A" w:rsidRPr="000B7483">
        <w:t>decision makers are convinced of the need for action on AMR and the use quality data for evidence-informed policy</w:t>
      </w:r>
      <w:r w:rsidR="00DD5187">
        <w:t>.</w:t>
      </w:r>
      <w:r w:rsidR="000E2CA8" w:rsidRPr="6982AF57" w:rsidDel="000E2CA8">
        <w:rPr>
          <w:rStyle w:val="Hyperlink"/>
        </w:rPr>
        <w:t xml:space="preserve"> </w:t>
      </w:r>
    </w:p>
    <w:p w14:paraId="18A95694" w14:textId="33FCCEB6" w:rsidR="00870C7B" w:rsidRDefault="008176BE" w:rsidP="004E3345">
      <w:pPr>
        <w:pStyle w:val="Heading2"/>
      </w:pPr>
      <w:r>
        <w:t xml:space="preserve">3. </w:t>
      </w:r>
      <w:r w:rsidR="00F00807">
        <w:t>Detailed</w:t>
      </w:r>
      <w:r w:rsidR="004E3345">
        <w:t xml:space="preserve"> output scoring</w:t>
      </w:r>
    </w:p>
    <w:p w14:paraId="62AE1972" w14:textId="6576CF05" w:rsidR="008C3F49" w:rsidRPr="008C3F49" w:rsidRDefault="008C3F49" w:rsidP="009F4DA9">
      <w:pPr>
        <w:pStyle w:val="ParagraphText-unnumbered"/>
      </w:pPr>
      <w:r>
        <w:t>The programme achieved or surpassed milestones for over 70% of outputs and remained on track to achieving several more within Q1 of 2022.</w:t>
      </w:r>
      <w:r w:rsidR="009F4DA9">
        <w:t xml:space="preserve"> </w:t>
      </w:r>
      <w:r>
        <w:t xml:space="preserve">The Fleming Fund </w:t>
      </w:r>
      <w:r w:rsidR="00C442DE">
        <w:t>will</w:t>
      </w:r>
      <w:r>
        <w:t xml:space="preserve"> assess risk rating</w:t>
      </w:r>
      <w:r w:rsidR="00C442DE">
        <w:t xml:space="preserve"> in a different manner</w:t>
      </w:r>
      <w:r>
        <w:t xml:space="preserve"> for 2022 milestones as the programme is </w:t>
      </w:r>
      <w:r w:rsidR="006F1230">
        <w:t xml:space="preserve">implementing </w:t>
      </w:r>
      <w:r>
        <w:t xml:space="preserve">a Results Framework in phase 2 (see </w:t>
      </w:r>
      <w:hyperlink w:anchor="_8._Monitoring_evaluation" w:history="1">
        <w:r w:rsidRPr="009A2A91">
          <w:rPr>
            <w:rStyle w:val="Hyperlink"/>
          </w:rPr>
          <w:t>MEL section</w:t>
        </w:r>
      </w:hyperlink>
      <w:r>
        <w:t xml:space="preserve"> for more information).</w:t>
      </w:r>
      <w:r w:rsidR="00D15948">
        <w:rPr>
          <w:rStyle w:val="FootnoteReference"/>
        </w:rPr>
        <w:footnoteReference w:id="3"/>
      </w:r>
    </w:p>
    <w:p w14:paraId="67BDDEC1" w14:textId="6C4C9FEA" w:rsidR="00AD14A4" w:rsidRDefault="00AD14A4" w:rsidP="00AD14A4">
      <w:pPr>
        <w:pStyle w:val="Heading3"/>
      </w:pPr>
      <w:r w:rsidRPr="00AD14A4">
        <w:t>3.1 Overall programme</w:t>
      </w:r>
    </w:p>
    <w:p w14:paraId="4A113088" w14:textId="4F7E4791" w:rsidR="00A36CEB" w:rsidRPr="00E2178D" w:rsidRDefault="00A36CEB" w:rsidP="00E2178D">
      <w:pPr>
        <w:pStyle w:val="ParagraphText-unnumbered"/>
        <w:rPr>
          <w:b/>
          <w:bCs/>
        </w:rPr>
      </w:pPr>
      <w:r w:rsidRPr="00E2178D">
        <w:rPr>
          <w:b/>
          <w:bCs/>
        </w:rPr>
        <w:t>Output number:</w:t>
      </w:r>
      <w:r w:rsidR="005A7BD7" w:rsidRPr="00E2178D">
        <w:rPr>
          <w:b/>
          <w:bCs/>
        </w:rPr>
        <w:t xml:space="preserve"> 1</w:t>
      </w:r>
    </w:p>
    <w:p w14:paraId="09103AD2" w14:textId="35C0620F" w:rsidR="00A36CEB" w:rsidRPr="00E2178D" w:rsidRDefault="00A36CEB" w:rsidP="00E2178D">
      <w:pPr>
        <w:pStyle w:val="ParagraphText-unnumbered"/>
        <w:rPr>
          <w:b/>
          <w:bCs/>
        </w:rPr>
      </w:pPr>
      <w:r w:rsidRPr="00E2178D">
        <w:rPr>
          <w:b/>
          <w:bCs/>
        </w:rPr>
        <w:t>Output score:</w:t>
      </w:r>
      <w:r w:rsidR="005A7BD7" w:rsidRPr="00E2178D">
        <w:rPr>
          <w:b/>
          <w:bCs/>
        </w:rPr>
        <w:t xml:space="preserve"> A</w:t>
      </w:r>
    </w:p>
    <w:p w14:paraId="6DAC1AC2" w14:textId="296E0CD5" w:rsidR="00A36CEB" w:rsidRPr="00E2178D" w:rsidRDefault="00A36CEB" w:rsidP="00E2178D">
      <w:pPr>
        <w:pStyle w:val="ParagraphText-unnumbered"/>
        <w:rPr>
          <w:b/>
          <w:bCs/>
        </w:rPr>
      </w:pPr>
      <w:r w:rsidRPr="00E2178D">
        <w:rPr>
          <w:b/>
          <w:bCs/>
        </w:rPr>
        <w:t>Impact weighting:</w:t>
      </w:r>
      <w:r w:rsidR="005A7BD7" w:rsidRPr="00E2178D">
        <w:rPr>
          <w:b/>
          <w:bCs/>
        </w:rPr>
        <w:t xml:space="preserve"> 15</w:t>
      </w:r>
      <w:r w:rsidR="00E2178D">
        <w:rPr>
          <w:b/>
          <w:bCs/>
        </w:rPr>
        <w:t>%</w:t>
      </w:r>
    </w:p>
    <w:tbl>
      <w:tblPr>
        <w:tblStyle w:val="DHSCtable"/>
        <w:tblW w:w="0" w:type="auto"/>
        <w:tblLook w:val="04A0" w:firstRow="1" w:lastRow="0" w:firstColumn="1" w:lastColumn="0" w:noHBand="0" w:noVBand="1"/>
      </w:tblPr>
      <w:tblGrid>
        <w:gridCol w:w="4336"/>
        <w:gridCol w:w="1329"/>
        <w:gridCol w:w="3963"/>
      </w:tblGrid>
      <w:tr w:rsidR="008A18A9" w:rsidRPr="00AD14A4" w14:paraId="186108CF" w14:textId="77777777" w:rsidTr="00DF6FBA">
        <w:trPr>
          <w:cnfStyle w:val="100000000000" w:firstRow="1" w:lastRow="0" w:firstColumn="0" w:lastColumn="0" w:oddVBand="0" w:evenVBand="0" w:oddHBand="0" w:evenHBand="0" w:firstRowFirstColumn="0" w:firstRowLastColumn="0" w:lastRowFirstColumn="0" w:lastRowLastColumn="0"/>
        </w:trPr>
        <w:tc>
          <w:tcPr>
            <w:tcW w:w="4336" w:type="dxa"/>
          </w:tcPr>
          <w:p w14:paraId="7A178427" w14:textId="77777777" w:rsidR="008A18A9" w:rsidRPr="005A7BD7" w:rsidRDefault="008A18A9" w:rsidP="008A18A9">
            <w:pPr>
              <w:rPr>
                <w:rStyle w:val="Bold"/>
                <w:rFonts w:ascii="Arial" w:hAnsi="Arial" w:cs="Arial"/>
                <w:b/>
              </w:rPr>
            </w:pPr>
            <w:r w:rsidRPr="005A7BD7">
              <w:rPr>
                <w:rStyle w:val="Bold"/>
                <w:rFonts w:ascii="Arial" w:hAnsi="Arial" w:cs="Arial"/>
                <w:b/>
              </w:rPr>
              <w:t>Indicator(s)</w:t>
            </w:r>
          </w:p>
        </w:tc>
        <w:tc>
          <w:tcPr>
            <w:tcW w:w="1329" w:type="dxa"/>
          </w:tcPr>
          <w:p w14:paraId="7335B78A" w14:textId="77777777" w:rsidR="008A18A9" w:rsidRPr="005A7BD7" w:rsidRDefault="008A18A9" w:rsidP="008A18A9">
            <w:pPr>
              <w:rPr>
                <w:rStyle w:val="Bold"/>
                <w:rFonts w:ascii="Arial" w:hAnsi="Arial" w:cs="Arial"/>
                <w:b/>
              </w:rPr>
            </w:pPr>
            <w:r w:rsidRPr="005A7BD7">
              <w:rPr>
                <w:rStyle w:val="Bold"/>
                <w:rFonts w:ascii="Arial" w:hAnsi="Arial" w:cs="Arial"/>
                <w:b/>
              </w:rPr>
              <w:t>Milestone for the review</w:t>
            </w:r>
          </w:p>
        </w:tc>
        <w:tc>
          <w:tcPr>
            <w:tcW w:w="3963" w:type="dxa"/>
          </w:tcPr>
          <w:p w14:paraId="6ECF0E35" w14:textId="77777777" w:rsidR="008A18A9" w:rsidRPr="005A7BD7" w:rsidRDefault="008A18A9" w:rsidP="008A18A9">
            <w:pPr>
              <w:rPr>
                <w:rStyle w:val="Bold"/>
                <w:rFonts w:ascii="Arial" w:hAnsi="Arial" w:cs="Arial"/>
                <w:b/>
              </w:rPr>
            </w:pPr>
            <w:r w:rsidRPr="005A7BD7">
              <w:rPr>
                <w:rStyle w:val="Bold"/>
                <w:rFonts w:ascii="Arial" w:hAnsi="Arial" w:cs="Arial"/>
                <w:b/>
              </w:rPr>
              <w:t>Progress</w:t>
            </w:r>
          </w:p>
        </w:tc>
      </w:tr>
      <w:tr w:rsidR="008A18A9" w:rsidRPr="00AD14A4" w14:paraId="15015402" w14:textId="77777777" w:rsidTr="00DF6FBA">
        <w:tc>
          <w:tcPr>
            <w:tcW w:w="4336" w:type="dxa"/>
          </w:tcPr>
          <w:p w14:paraId="5D9BA2EC" w14:textId="1B2168FE" w:rsidR="008A18A9" w:rsidRPr="005A7BD7" w:rsidRDefault="008A18A9" w:rsidP="00212F0D">
            <w:pPr>
              <w:pStyle w:val="Table-bodytext"/>
              <w:rPr>
                <w:rStyle w:val="Bold"/>
              </w:rPr>
            </w:pPr>
            <w:r w:rsidRPr="005A7BD7">
              <w:rPr>
                <w:rStyle w:val="Bold"/>
              </w:rPr>
              <w:t>1.1 FF projects achieving green or amber-green RAG rating for quality, timeliness and finance on average across the year (All)</w:t>
            </w:r>
          </w:p>
        </w:tc>
        <w:tc>
          <w:tcPr>
            <w:tcW w:w="1329" w:type="dxa"/>
          </w:tcPr>
          <w:p w14:paraId="36C61AA4" w14:textId="0B51D77A" w:rsidR="008A18A9" w:rsidRPr="008A18A9" w:rsidRDefault="008A18A9" w:rsidP="008A18A9">
            <w:r w:rsidRPr="008A18A9">
              <w:t>70%</w:t>
            </w:r>
          </w:p>
        </w:tc>
        <w:tc>
          <w:tcPr>
            <w:tcW w:w="3963" w:type="dxa"/>
          </w:tcPr>
          <w:p w14:paraId="491845D9" w14:textId="77777777" w:rsidR="008A18A9" w:rsidRPr="008A18A9" w:rsidRDefault="008A18A9" w:rsidP="008A18A9">
            <w:pPr>
              <w:pStyle w:val="Bullet"/>
              <w:rPr>
                <w:rStyle w:val="Bold"/>
              </w:rPr>
            </w:pPr>
            <w:r w:rsidRPr="008A18A9">
              <w:rPr>
                <w:rStyle w:val="Bold"/>
              </w:rPr>
              <w:t>Not achieved</w:t>
            </w:r>
          </w:p>
          <w:p w14:paraId="2D46ED10" w14:textId="7AAAAFA9" w:rsidR="008A18A9" w:rsidRPr="005A7BD7" w:rsidRDefault="008A18A9" w:rsidP="008A18A9">
            <w:pPr>
              <w:pStyle w:val="Table-bodytext"/>
              <w:rPr>
                <w:b w:val="0"/>
              </w:rPr>
            </w:pPr>
            <w:r w:rsidRPr="005A7BD7">
              <w:rPr>
                <w:b w:val="0"/>
              </w:rPr>
              <w:t xml:space="preserve">Although the </w:t>
            </w:r>
            <w:r w:rsidR="001F3C8B" w:rsidRPr="005A7BD7">
              <w:rPr>
                <w:b w:val="0"/>
              </w:rPr>
              <w:t xml:space="preserve">project achieved </w:t>
            </w:r>
            <w:r w:rsidR="002E124F" w:rsidRPr="005A7BD7">
              <w:rPr>
                <w:b w:val="0"/>
              </w:rPr>
              <w:t>an average quality RAG of</w:t>
            </w:r>
            <w:r w:rsidRPr="005A7BD7">
              <w:rPr>
                <w:b w:val="0"/>
              </w:rPr>
              <w:t xml:space="preserve"> 84%, </w:t>
            </w:r>
            <w:r w:rsidR="001C1E0A" w:rsidRPr="005A7BD7">
              <w:rPr>
                <w:b w:val="0"/>
              </w:rPr>
              <w:t xml:space="preserve">Finance and </w:t>
            </w:r>
            <w:r w:rsidRPr="005A7BD7">
              <w:rPr>
                <w:b w:val="0"/>
              </w:rPr>
              <w:t>timelines</w:t>
            </w:r>
            <w:r w:rsidR="008A58BE">
              <w:rPr>
                <w:b w:val="0"/>
              </w:rPr>
              <w:t>s</w:t>
            </w:r>
            <w:r w:rsidRPr="005A7BD7">
              <w:rPr>
                <w:b w:val="0"/>
              </w:rPr>
              <w:t>, which both</w:t>
            </w:r>
            <w:r w:rsidR="001C1E0A" w:rsidRPr="005A7BD7">
              <w:rPr>
                <w:b w:val="0"/>
              </w:rPr>
              <w:t xml:space="preserve"> </w:t>
            </w:r>
            <w:r w:rsidRPr="005A7BD7">
              <w:rPr>
                <w:b w:val="0"/>
              </w:rPr>
              <w:t>averaged at 54%</w:t>
            </w:r>
            <w:r w:rsidR="002E124F" w:rsidRPr="005A7BD7">
              <w:rPr>
                <w:b w:val="0"/>
              </w:rPr>
              <w:t xml:space="preserve"> over the period</w:t>
            </w:r>
            <w:r w:rsidRPr="005A7BD7">
              <w:rPr>
                <w:b w:val="0"/>
              </w:rPr>
              <w:t>.</w:t>
            </w:r>
          </w:p>
        </w:tc>
      </w:tr>
      <w:tr w:rsidR="008A18A9" w:rsidRPr="00AD14A4" w14:paraId="5C1CD8B3" w14:textId="77777777" w:rsidTr="00DF6FBA">
        <w:tc>
          <w:tcPr>
            <w:tcW w:w="4336" w:type="dxa"/>
          </w:tcPr>
          <w:p w14:paraId="134A7473" w14:textId="506E6F1E" w:rsidR="008A18A9" w:rsidRPr="005A7BD7" w:rsidRDefault="008A18A9" w:rsidP="00212F0D">
            <w:pPr>
              <w:pStyle w:val="Table-bodytext"/>
              <w:rPr>
                <w:rStyle w:val="Bold"/>
              </w:rPr>
            </w:pPr>
            <w:r w:rsidRPr="005A7BD7">
              <w:rPr>
                <w:rStyle w:val="Bold"/>
              </w:rPr>
              <w:t>1.2 Percentage of FF supported Human Health surveillance sites showing progress through the LSHTM roadmap functions and stages (M</w:t>
            </w:r>
            <w:r w:rsidR="00C442DE">
              <w:rPr>
                <w:rStyle w:val="Bold"/>
              </w:rPr>
              <w:t>A</w:t>
            </w:r>
            <w:r w:rsidRPr="005A7BD7">
              <w:rPr>
                <w:rStyle w:val="Bold"/>
              </w:rPr>
              <w:t>)</w:t>
            </w:r>
          </w:p>
        </w:tc>
        <w:tc>
          <w:tcPr>
            <w:tcW w:w="1329" w:type="dxa"/>
          </w:tcPr>
          <w:p w14:paraId="2A622B62" w14:textId="2592D119" w:rsidR="008A18A9" w:rsidRPr="005A7BD7" w:rsidRDefault="008A18A9" w:rsidP="00212F0D">
            <w:pPr>
              <w:pStyle w:val="Table-bodytext"/>
              <w:rPr>
                <w:rStyle w:val="Bold"/>
              </w:rPr>
            </w:pPr>
            <w:r w:rsidRPr="005A7BD7">
              <w:rPr>
                <w:rStyle w:val="Bold"/>
              </w:rPr>
              <w:t>65% (101/156)</w:t>
            </w:r>
          </w:p>
        </w:tc>
        <w:tc>
          <w:tcPr>
            <w:tcW w:w="3963" w:type="dxa"/>
          </w:tcPr>
          <w:p w14:paraId="0D9353BC" w14:textId="77777777" w:rsidR="008A18A9" w:rsidRPr="008A18A9" w:rsidRDefault="008A18A9" w:rsidP="008A18A9">
            <w:pPr>
              <w:pStyle w:val="Bullet"/>
              <w:rPr>
                <w:rStyle w:val="Bold"/>
              </w:rPr>
            </w:pPr>
            <w:r w:rsidRPr="008A18A9">
              <w:rPr>
                <w:rStyle w:val="Bold"/>
              </w:rPr>
              <w:t>Achieved</w:t>
            </w:r>
          </w:p>
          <w:p w14:paraId="13270CA5" w14:textId="7E0C0676" w:rsidR="008A18A9" w:rsidRPr="008A18A9" w:rsidRDefault="008A18A9" w:rsidP="008A18A9">
            <w:r w:rsidRPr="008A18A9">
              <w:t>66% of surveillance sites (10</w:t>
            </w:r>
            <w:r w:rsidR="004E774D">
              <w:t>6</w:t>
            </w:r>
            <w:r w:rsidRPr="008A18A9">
              <w:t xml:space="preserve">/161) showed progress. </w:t>
            </w:r>
          </w:p>
        </w:tc>
      </w:tr>
      <w:tr w:rsidR="008A18A9" w:rsidRPr="00AD14A4" w14:paraId="5AB9E14D" w14:textId="77777777" w:rsidTr="00DF6FBA">
        <w:tc>
          <w:tcPr>
            <w:tcW w:w="4336" w:type="dxa"/>
          </w:tcPr>
          <w:p w14:paraId="6F00985B" w14:textId="6C9BF076" w:rsidR="008A18A9" w:rsidRPr="00212F0D" w:rsidRDefault="008A18A9" w:rsidP="00212F0D">
            <w:pPr>
              <w:pStyle w:val="Table-bodytext"/>
            </w:pPr>
            <w:r w:rsidRPr="005A7BD7">
              <w:rPr>
                <w:rStyle w:val="Bold"/>
              </w:rPr>
              <w:t>1.3 Percentage of FF supported Animal Health surveillance sites showing progress through the LSHTM roadmap functions and stages (M</w:t>
            </w:r>
            <w:r w:rsidR="00C442DE">
              <w:rPr>
                <w:rStyle w:val="Bold"/>
              </w:rPr>
              <w:t>A</w:t>
            </w:r>
            <w:r w:rsidRPr="005A7BD7">
              <w:rPr>
                <w:rStyle w:val="Bold"/>
              </w:rPr>
              <w:t>)</w:t>
            </w:r>
          </w:p>
        </w:tc>
        <w:tc>
          <w:tcPr>
            <w:tcW w:w="1329" w:type="dxa"/>
          </w:tcPr>
          <w:p w14:paraId="04E1CDC7" w14:textId="37D97D3F" w:rsidR="008A18A9" w:rsidRPr="005A7BD7" w:rsidRDefault="008A18A9" w:rsidP="00212F0D">
            <w:pPr>
              <w:pStyle w:val="Table-bodytext"/>
              <w:rPr>
                <w:rStyle w:val="Bold"/>
              </w:rPr>
            </w:pPr>
            <w:r w:rsidRPr="005A7BD7">
              <w:rPr>
                <w:rStyle w:val="Bold"/>
              </w:rPr>
              <w:t>65% (51/78)</w:t>
            </w:r>
          </w:p>
        </w:tc>
        <w:tc>
          <w:tcPr>
            <w:tcW w:w="3963" w:type="dxa"/>
          </w:tcPr>
          <w:p w14:paraId="038CCAA3" w14:textId="77777777" w:rsidR="008A18A9" w:rsidRPr="008A18A9" w:rsidRDefault="008A18A9" w:rsidP="008A18A9">
            <w:pPr>
              <w:pStyle w:val="Bullet"/>
              <w:rPr>
                <w:rStyle w:val="Bold"/>
              </w:rPr>
            </w:pPr>
            <w:r w:rsidRPr="008A18A9">
              <w:rPr>
                <w:rStyle w:val="Bold"/>
              </w:rPr>
              <w:t>Achieved</w:t>
            </w:r>
          </w:p>
          <w:p w14:paraId="46879708" w14:textId="4B46701C" w:rsidR="008A18A9" w:rsidRPr="008A18A9" w:rsidRDefault="008A18A9" w:rsidP="008A18A9">
            <w:r w:rsidRPr="008A18A9">
              <w:t xml:space="preserve">65% of surveillance sites (49/75) showed progress. </w:t>
            </w:r>
          </w:p>
        </w:tc>
      </w:tr>
    </w:tbl>
    <w:p w14:paraId="2C570C4E" w14:textId="77777777" w:rsidR="008A18A9" w:rsidRDefault="008A18A9" w:rsidP="008A18A9">
      <w:pPr>
        <w:pStyle w:val="Table-bodytext"/>
      </w:pPr>
    </w:p>
    <w:p w14:paraId="21A2F674" w14:textId="55B81074" w:rsidR="008B59FE" w:rsidRDefault="00AD14A4" w:rsidP="004C2E4A">
      <w:pPr>
        <w:pStyle w:val="ParagraphText-unnumbered"/>
      </w:pPr>
      <w:r>
        <w:t xml:space="preserve">The number of human health sites changed due to the removal of sites from Ghana, Sri Lanka and Timor-Leste, and the addition of sites in Laos, Pakistan and Senegal. The </w:t>
      </w:r>
      <w:r>
        <w:lastRenderedPageBreak/>
        <w:t>number of animal health sites changed due to the removal of sites from Ghana, Sri Lanka and Laos, and the addition of sites in Indonesia and Uganda. All sites assessed received over 9 months of support.</w:t>
      </w:r>
    </w:p>
    <w:p w14:paraId="2B6F4DE5" w14:textId="428182BB" w:rsidR="001C1E0A" w:rsidRDefault="001C1E0A" w:rsidP="62FEF8CA">
      <w:pPr>
        <w:pStyle w:val="ParagraphText-unnumbered"/>
        <w:rPr>
          <w:sz w:val="29"/>
          <w:szCs w:val="29"/>
        </w:rPr>
      </w:pPr>
      <w:r>
        <w:t xml:space="preserve">COVID-19 continued to impact </w:t>
      </w:r>
      <w:r w:rsidR="278241D5">
        <w:t>the financing</w:t>
      </w:r>
      <w:r>
        <w:t xml:space="preserve"> and timeliness of Fleming Fund projects, as projects were put on hold or flexed to support the global pandemic. More on this is detailed in section 4 of this report.</w:t>
      </w:r>
    </w:p>
    <w:p w14:paraId="075AF8E5" w14:textId="02877512" w:rsidR="00AD14A4" w:rsidRDefault="00D71C0F" w:rsidP="00AD14A4">
      <w:pPr>
        <w:pStyle w:val="Heading3"/>
      </w:pPr>
      <w:r w:rsidRPr="00D71C0F">
        <w:t>3.</w:t>
      </w:r>
      <w:r w:rsidR="00015243">
        <w:t>2</w:t>
      </w:r>
      <w:r w:rsidRPr="00D71C0F">
        <w:t xml:space="preserve"> </w:t>
      </w:r>
      <w:r w:rsidR="00F30CA5">
        <w:t>Standardisation of data/ quality of surveillance/ quality improvement</w:t>
      </w:r>
    </w:p>
    <w:p w14:paraId="47206984" w14:textId="47663CD9" w:rsidR="005A7BD7" w:rsidRPr="00E2178D" w:rsidRDefault="005A7BD7" w:rsidP="005A7BD7">
      <w:pPr>
        <w:pStyle w:val="ParagraphText-unnumbered"/>
        <w:rPr>
          <w:b/>
          <w:bCs/>
        </w:rPr>
      </w:pPr>
      <w:r w:rsidRPr="00E2178D">
        <w:rPr>
          <w:b/>
          <w:bCs/>
        </w:rPr>
        <w:t>Output number: 2</w:t>
      </w:r>
    </w:p>
    <w:p w14:paraId="417CC3B8" w14:textId="4B7319B2" w:rsidR="005A7BD7" w:rsidRPr="00E2178D" w:rsidRDefault="005A7BD7" w:rsidP="005A7BD7">
      <w:pPr>
        <w:pStyle w:val="ParagraphText-unnumbered"/>
        <w:rPr>
          <w:b/>
          <w:bCs/>
        </w:rPr>
      </w:pPr>
      <w:r w:rsidRPr="00E2178D">
        <w:rPr>
          <w:b/>
          <w:bCs/>
        </w:rPr>
        <w:t>Output score: B</w:t>
      </w:r>
    </w:p>
    <w:p w14:paraId="5AD0E173" w14:textId="51055DC4" w:rsidR="00E41868" w:rsidRPr="00E2178D" w:rsidRDefault="005A7BD7" w:rsidP="00E41868">
      <w:pPr>
        <w:pStyle w:val="ParagraphText-unnumbered"/>
        <w:rPr>
          <w:b/>
        </w:rPr>
      </w:pPr>
      <w:r w:rsidRPr="00E2178D">
        <w:rPr>
          <w:b/>
          <w:bCs/>
        </w:rPr>
        <w:t>Impact weighting: 5%</w:t>
      </w:r>
    </w:p>
    <w:tbl>
      <w:tblPr>
        <w:tblStyle w:val="DHSCtable"/>
        <w:tblW w:w="0" w:type="auto"/>
        <w:tblLook w:val="04A0" w:firstRow="1" w:lastRow="0" w:firstColumn="1" w:lastColumn="0" w:noHBand="0" w:noVBand="1"/>
      </w:tblPr>
      <w:tblGrid>
        <w:gridCol w:w="4106"/>
        <w:gridCol w:w="1559"/>
        <w:gridCol w:w="3963"/>
      </w:tblGrid>
      <w:tr w:rsidR="00324ABD" w14:paraId="006CA10D" w14:textId="77777777" w:rsidTr="002C5235">
        <w:trPr>
          <w:cnfStyle w:val="100000000000" w:firstRow="1" w:lastRow="0" w:firstColumn="0" w:lastColumn="0" w:oddVBand="0" w:evenVBand="0" w:oddHBand="0" w:evenHBand="0" w:firstRowFirstColumn="0" w:firstRowLastColumn="0" w:lastRowFirstColumn="0" w:lastRowLastColumn="0"/>
        </w:trPr>
        <w:tc>
          <w:tcPr>
            <w:tcW w:w="4106" w:type="dxa"/>
          </w:tcPr>
          <w:p w14:paraId="4658621B" w14:textId="3FCAFA41" w:rsidR="00324ABD" w:rsidRPr="002C5235" w:rsidRDefault="00324ABD" w:rsidP="004F47E4">
            <w:pPr>
              <w:pStyle w:val="Table-headertext"/>
              <w:rPr>
                <w:rFonts w:ascii="Arial" w:hAnsi="Arial" w:cs="Arial"/>
                <w:b w:val="0"/>
              </w:rPr>
            </w:pPr>
            <w:r w:rsidRPr="002C5235">
              <w:rPr>
                <w:rStyle w:val="Bold"/>
                <w:rFonts w:ascii="Arial" w:hAnsi="Arial" w:cs="Arial"/>
                <w:b/>
              </w:rPr>
              <w:t>Indicator(s)</w:t>
            </w:r>
          </w:p>
        </w:tc>
        <w:tc>
          <w:tcPr>
            <w:tcW w:w="1559" w:type="dxa"/>
          </w:tcPr>
          <w:p w14:paraId="47B8741C" w14:textId="68EF6A46" w:rsidR="00324ABD" w:rsidRPr="002C5235" w:rsidRDefault="00324ABD" w:rsidP="004F47E4">
            <w:pPr>
              <w:pStyle w:val="Table-headertext"/>
              <w:rPr>
                <w:rFonts w:ascii="Arial" w:hAnsi="Arial" w:cs="Arial"/>
                <w:b w:val="0"/>
              </w:rPr>
            </w:pPr>
            <w:r w:rsidRPr="002C5235">
              <w:rPr>
                <w:rStyle w:val="Bold"/>
                <w:rFonts w:ascii="Arial" w:hAnsi="Arial" w:cs="Arial"/>
                <w:b/>
              </w:rPr>
              <w:t>Milestone for the review</w:t>
            </w:r>
          </w:p>
        </w:tc>
        <w:tc>
          <w:tcPr>
            <w:tcW w:w="3963" w:type="dxa"/>
          </w:tcPr>
          <w:p w14:paraId="0A4B28E5" w14:textId="43CCF764" w:rsidR="00324ABD" w:rsidRPr="002C5235" w:rsidRDefault="00324ABD" w:rsidP="004F47E4">
            <w:pPr>
              <w:pStyle w:val="Table-headertext"/>
              <w:rPr>
                <w:rFonts w:ascii="Arial" w:hAnsi="Arial" w:cs="Arial"/>
                <w:b w:val="0"/>
              </w:rPr>
            </w:pPr>
            <w:r w:rsidRPr="002C5235">
              <w:rPr>
                <w:rStyle w:val="Bold"/>
                <w:rFonts w:ascii="Arial" w:hAnsi="Arial" w:cs="Arial"/>
                <w:b/>
              </w:rPr>
              <w:t>Progress</w:t>
            </w:r>
          </w:p>
        </w:tc>
      </w:tr>
      <w:tr w:rsidR="00324ABD" w14:paraId="250893E3" w14:textId="77777777" w:rsidTr="002C5235">
        <w:tc>
          <w:tcPr>
            <w:tcW w:w="4106" w:type="dxa"/>
          </w:tcPr>
          <w:p w14:paraId="626B2A9D" w14:textId="2F50D6A9" w:rsidR="00324ABD" w:rsidRPr="002C5235" w:rsidRDefault="00025469" w:rsidP="004F47E4">
            <w:pPr>
              <w:pStyle w:val="Table-bodytext"/>
              <w:rPr>
                <w:b w:val="0"/>
              </w:rPr>
            </w:pPr>
            <w:r w:rsidRPr="002C5235">
              <w:rPr>
                <w:b w:val="0"/>
              </w:rPr>
              <w:t xml:space="preserve">2.1 </w:t>
            </w:r>
            <w:r w:rsidR="004B2E65" w:rsidRPr="002C5235">
              <w:rPr>
                <w:b w:val="0"/>
              </w:rPr>
              <w:t>a)</w:t>
            </w:r>
            <w:r w:rsidRPr="002C5235">
              <w:rPr>
                <w:b w:val="0"/>
              </w:rPr>
              <w:t xml:space="preserve"> </w:t>
            </w:r>
            <w:r w:rsidR="00D71C0F" w:rsidRPr="002C5235">
              <w:rPr>
                <w:b w:val="0"/>
              </w:rPr>
              <w:t>Number of AMS checklists completed (CwPAMS</w:t>
            </w:r>
            <w:r w:rsidR="00386EE1" w:rsidRPr="002C5235">
              <w:rPr>
                <w:b w:val="0"/>
              </w:rPr>
              <w:t xml:space="preserve"> extension</w:t>
            </w:r>
            <w:r w:rsidR="00D71C0F" w:rsidRPr="002C5235">
              <w:rPr>
                <w:b w:val="0"/>
              </w:rPr>
              <w:t>)</w:t>
            </w:r>
          </w:p>
        </w:tc>
        <w:tc>
          <w:tcPr>
            <w:tcW w:w="1559" w:type="dxa"/>
          </w:tcPr>
          <w:p w14:paraId="444EC066" w14:textId="5936917A" w:rsidR="00324ABD" w:rsidRPr="002C5235" w:rsidRDefault="004F47E4" w:rsidP="00B66D72">
            <w:pPr>
              <w:pStyle w:val="Table-bodytext"/>
              <w:rPr>
                <w:b w:val="0"/>
              </w:rPr>
            </w:pPr>
            <w:r w:rsidRPr="002C5235">
              <w:rPr>
                <w:b w:val="0"/>
              </w:rPr>
              <w:t>95% of new grants awarded</w:t>
            </w:r>
          </w:p>
        </w:tc>
        <w:tc>
          <w:tcPr>
            <w:tcW w:w="3963" w:type="dxa"/>
          </w:tcPr>
          <w:p w14:paraId="5DDD8A5E" w14:textId="77777777" w:rsidR="00324ABD" w:rsidRPr="002C5235" w:rsidRDefault="004F47E4" w:rsidP="004F47E4">
            <w:pPr>
              <w:pStyle w:val="Bullet"/>
              <w:rPr>
                <w:rStyle w:val="Bold"/>
                <w:rFonts w:cs="Arial"/>
                <w:b w:val="0"/>
              </w:rPr>
            </w:pPr>
            <w:r w:rsidRPr="005A7BD7">
              <w:rPr>
                <w:rStyle w:val="Bold"/>
                <w:rFonts w:cs="Arial"/>
              </w:rPr>
              <w:t>Achieved</w:t>
            </w:r>
          </w:p>
          <w:p w14:paraId="1C37D58F" w14:textId="19A42980" w:rsidR="004F1210" w:rsidRPr="002C5235" w:rsidRDefault="004F47E4" w:rsidP="004F47E4">
            <w:pPr>
              <w:pStyle w:val="Table-bodytext"/>
              <w:rPr>
                <w:b w:val="0"/>
              </w:rPr>
            </w:pPr>
            <w:r w:rsidRPr="002C5235">
              <w:rPr>
                <w:b w:val="0"/>
              </w:rPr>
              <w:t>100%</w:t>
            </w:r>
            <w:r w:rsidR="008B2358" w:rsidRPr="002C5235">
              <w:rPr>
                <w:b w:val="0"/>
              </w:rPr>
              <w:t xml:space="preserve"> (14 Health Partnerships)</w:t>
            </w:r>
          </w:p>
        </w:tc>
      </w:tr>
      <w:tr w:rsidR="00324ABD" w14:paraId="0D44A9AB" w14:textId="77777777" w:rsidTr="002C5235">
        <w:tc>
          <w:tcPr>
            <w:tcW w:w="4106" w:type="dxa"/>
          </w:tcPr>
          <w:p w14:paraId="551E2323" w14:textId="2ABB5393" w:rsidR="00324ABD" w:rsidRPr="002C5235" w:rsidRDefault="00025469" w:rsidP="004F47E4">
            <w:pPr>
              <w:pStyle w:val="Table-bodytext"/>
              <w:rPr>
                <w:b w:val="0"/>
              </w:rPr>
            </w:pPr>
            <w:r w:rsidRPr="002C5235">
              <w:rPr>
                <w:b w:val="0"/>
              </w:rPr>
              <w:t>2.</w:t>
            </w:r>
            <w:r w:rsidR="004B2E65" w:rsidRPr="002C5235">
              <w:rPr>
                <w:b w:val="0"/>
              </w:rPr>
              <w:t>1 b)</w:t>
            </w:r>
            <w:r w:rsidRPr="002C5235">
              <w:rPr>
                <w:b w:val="0"/>
              </w:rPr>
              <w:t xml:space="preserve"> </w:t>
            </w:r>
            <w:r w:rsidR="00B66D72" w:rsidRPr="002C5235">
              <w:rPr>
                <w:b w:val="0"/>
              </w:rPr>
              <w:t>Percentage of grants held AMS checklist meetings where AMS interventions have been identified and an action plan drafted (CwPAMS</w:t>
            </w:r>
            <w:r w:rsidR="00EC7DD3" w:rsidRPr="002C5235">
              <w:rPr>
                <w:b w:val="0"/>
              </w:rPr>
              <w:t>1, CwPAMS extension</w:t>
            </w:r>
            <w:r w:rsidR="00B66D72" w:rsidRPr="002C5235">
              <w:rPr>
                <w:b w:val="0"/>
              </w:rPr>
              <w:t>)</w:t>
            </w:r>
          </w:p>
        </w:tc>
        <w:tc>
          <w:tcPr>
            <w:tcW w:w="1559" w:type="dxa"/>
          </w:tcPr>
          <w:p w14:paraId="0036CDFC" w14:textId="6F81F3B5" w:rsidR="00324ABD" w:rsidRPr="002C5235" w:rsidRDefault="004F47E4" w:rsidP="00B66D72">
            <w:pPr>
              <w:pStyle w:val="Table-bodytext"/>
              <w:rPr>
                <w:b w:val="0"/>
              </w:rPr>
            </w:pPr>
            <w:r w:rsidRPr="002C5235">
              <w:rPr>
                <w:b w:val="0"/>
              </w:rPr>
              <w:t xml:space="preserve">50% </w:t>
            </w:r>
          </w:p>
        </w:tc>
        <w:tc>
          <w:tcPr>
            <w:tcW w:w="3963" w:type="dxa"/>
          </w:tcPr>
          <w:p w14:paraId="32E553C0" w14:textId="62F90E37" w:rsidR="00324ABD" w:rsidRPr="002C5235" w:rsidRDefault="00DC0E9E" w:rsidP="006E2481">
            <w:pPr>
              <w:pStyle w:val="Bullet"/>
              <w:rPr>
                <w:rStyle w:val="Bold"/>
                <w:rFonts w:cs="Arial"/>
                <w:b w:val="0"/>
              </w:rPr>
            </w:pPr>
            <w:r w:rsidRPr="005A7BD7">
              <w:rPr>
                <w:rStyle w:val="Bold"/>
                <w:rFonts w:cs="Arial"/>
              </w:rPr>
              <w:t>Surpassed</w:t>
            </w:r>
          </w:p>
          <w:p w14:paraId="7EAB1C5F" w14:textId="2CA49EBE" w:rsidR="006E2481" w:rsidRPr="002C5235" w:rsidRDefault="00C4237B" w:rsidP="006E2481">
            <w:pPr>
              <w:pStyle w:val="Table-bodytext"/>
              <w:rPr>
                <w:b w:val="0"/>
              </w:rPr>
            </w:pPr>
            <w:r w:rsidRPr="002C5235">
              <w:rPr>
                <w:b w:val="0"/>
              </w:rPr>
              <w:t>CwPAMS 1: 71% (10/14)</w:t>
            </w:r>
          </w:p>
          <w:p w14:paraId="5188EEF9" w14:textId="10E9E278" w:rsidR="004F1210" w:rsidRPr="002C5235" w:rsidRDefault="00C4237B" w:rsidP="00B66D72">
            <w:pPr>
              <w:pStyle w:val="Table-bodytext"/>
              <w:rPr>
                <w:b w:val="0"/>
              </w:rPr>
            </w:pPr>
            <w:r w:rsidRPr="002C5235">
              <w:rPr>
                <w:b w:val="0"/>
              </w:rPr>
              <w:t>CwPAMS extension: 100% (20/20)</w:t>
            </w:r>
          </w:p>
        </w:tc>
      </w:tr>
      <w:tr w:rsidR="00324ABD" w14:paraId="171F10CE" w14:textId="77777777" w:rsidTr="002C5235">
        <w:tc>
          <w:tcPr>
            <w:tcW w:w="4106" w:type="dxa"/>
          </w:tcPr>
          <w:p w14:paraId="1E2DB381" w14:textId="770ABFBB" w:rsidR="00324ABD" w:rsidRPr="002C5235" w:rsidRDefault="00025469" w:rsidP="004F47E4">
            <w:pPr>
              <w:pStyle w:val="Table-bodytext"/>
              <w:rPr>
                <w:b w:val="0"/>
              </w:rPr>
            </w:pPr>
            <w:r w:rsidRPr="002C5235">
              <w:rPr>
                <w:b w:val="0"/>
              </w:rPr>
              <w:t xml:space="preserve">2.3 </w:t>
            </w:r>
            <w:r w:rsidR="00B66D72" w:rsidRPr="002C5235">
              <w:rPr>
                <w:b w:val="0"/>
              </w:rPr>
              <w:t>Number of countries implementing Tricycle using FF funding (WHO)</w:t>
            </w:r>
          </w:p>
        </w:tc>
        <w:tc>
          <w:tcPr>
            <w:tcW w:w="1559" w:type="dxa"/>
          </w:tcPr>
          <w:p w14:paraId="5A4C200C" w14:textId="4180F97F" w:rsidR="00324ABD" w:rsidRPr="002C5235" w:rsidRDefault="004F47E4" w:rsidP="00B66D72">
            <w:pPr>
              <w:pStyle w:val="Table-bodytext"/>
              <w:rPr>
                <w:b w:val="0"/>
              </w:rPr>
            </w:pPr>
            <w:r w:rsidRPr="002C5235">
              <w:rPr>
                <w:b w:val="0"/>
              </w:rPr>
              <w:t>6</w:t>
            </w:r>
          </w:p>
        </w:tc>
        <w:tc>
          <w:tcPr>
            <w:tcW w:w="3963" w:type="dxa"/>
          </w:tcPr>
          <w:p w14:paraId="2A84C2B5" w14:textId="2D6F3090" w:rsidR="00324ABD" w:rsidRPr="002C5235" w:rsidRDefault="004F1210" w:rsidP="00715685">
            <w:pPr>
              <w:pStyle w:val="Bullet"/>
              <w:rPr>
                <w:rStyle w:val="Bold"/>
                <w:rFonts w:cs="Arial"/>
                <w:b w:val="0"/>
              </w:rPr>
            </w:pPr>
            <w:r w:rsidRPr="005A7BD7">
              <w:rPr>
                <w:rStyle w:val="Bold"/>
                <w:rFonts w:cs="Arial"/>
              </w:rPr>
              <w:t>Delayed</w:t>
            </w:r>
          </w:p>
          <w:p w14:paraId="17B03902" w14:textId="2E640211" w:rsidR="00715685" w:rsidRPr="002C5235" w:rsidRDefault="00715685" w:rsidP="00715685">
            <w:pPr>
              <w:pStyle w:val="Table-bodytext"/>
              <w:rPr>
                <w:b w:val="0"/>
              </w:rPr>
            </w:pPr>
            <w:r w:rsidRPr="002C5235">
              <w:rPr>
                <w:b w:val="0"/>
              </w:rPr>
              <w:t>3</w:t>
            </w:r>
          </w:p>
          <w:p w14:paraId="35765170" w14:textId="662F8C1F" w:rsidR="004F1210" w:rsidRPr="002C5235" w:rsidRDefault="004F1210" w:rsidP="00715685">
            <w:pPr>
              <w:pStyle w:val="Table-bodytext"/>
              <w:rPr>
                <w:b w:val="0"/>
              </w:rPr>
            </w:pPr>
          </w:p>
        </w:tc>
      </w:tr>
      <w:tr w:rsidR="00B66D72" w14:paraId="5BC4BCB4" w14:textId="77777777" w:rsidTr="002C5235">
        <w:tc>
          <w:tcPr>
            <w:tcW w:w="4106" w:type="dxa"/>
          </w:tcPr>
          <w:p w14:paraId="54902F1B" w14:textId="46F79368" w:rsidR="00B66D72" w:rsidRPr="002C5235" w:rsidRDefault="00025469" w:rsidP="004F47E4">
            <w:pPr>
              <w:pStyle w:val="Table-bodytext"/>
              <w:rPr>
                <w:b w:val="0"/>
              </w:rPr>
            </w:pPr>
            <w:r w:rsidRPr="002C5235">
              <w:rPr>
                <w:b w:val="0"/>
              </w:rPr>
              <w:t xml:space="preserve">2.4 </w:t>
            </w:r>
            <w:r w:rsidR="00B66D72" w:rsidRPr="002C5235">
              <w:rPr>
                <w:b w:val="0"/>
              </w:rPr>
              <w:t>Number of countries supported to implement and/or adapt regional guidelines and regulatory approaches relevant to addressing AMR (FAO)</w:t>
            </w:r>
          </w:p>
        </w:tc>
        <w:tc>
          <w:tcPr>
            <w:tcW w:w="1559" w:type="dxa"/>
          </w:tcPr>
          <w:p w14:paraId="3A6C0D8E" w14:textId="20480F58" w:rsidR="00B66D72" w:rsidRPr="002C5235" w:rsidRDefault="004F47E4" w:rsidP="00B66D72">
            <w:pPr>
              <w:pStyle w:val="Table-bodytext"/>
              <w:rPr>
                <w:b w:val="0"/>
              </w:rPr>
            </w:pPr>
            <w:r w:rsidRPr="002C5235">
              <w:rPr>
                <w:b w:val="0"/>
              </w:rPr>
              <w:t>10</w:t>
            </w:r>
          </w:p>
        </w:tc>
        <w:tc>
          <w:tcPr>
            <w:tcW w:w="3963" w:type="dxa"/>
          </w:tcPr>
          <w:p w14:paraId="237DA00D" w14:textId="77777777" w:rsidR="00B66D72" w:rsidRPr="005A7BD7" w:rsidRDefault="00715685" w:rsidP="00715685">
            <w:pPr>
              <w:pStyle w:val="Bullet"/>
              <w:rPr>
                <w:rStyle w:val="Bold"/>
                <w:rFonts w:cs="Arial"/>
              </w:rPr>
            </w:pPr>
            <w:r w:rsidRPr="005A7BD7">
              <w:rPr>
                <w:rStyle w:val="Bold"/>
                <w:rFonts w:cs="Arial"/>
              </w:rPr>
              <w:t>Not achieved</w:t>
            </w:r>
          </w:p>
          <w:p w14:paraId="5E50C5E5" w14:textId="0BC4B00C" w:rsidR="00715685" w:rsidRPr="002C5235" w:rsidRDefault="00715685" w:rsidP="00715685">
            <w:pPr>
              <w:pStyle w:val="Table-bodytext"/>
              <w:rPr>
                <w:b w:val="0"/>
              </w:rPr>
            </w:pPr>
            <w:r w:rsidRPr="002C5235">
              <w:rPr>
                <w:b w:val="0"/>
              </w:rPr>
              <w:t>7</w:t>
            </w:r>
          </w:p>
        </w:tc>
      </w:tr>
    </w:tbl>
    <w:p w14:paraId="447DE5CA" w14:textId="0AEE8CA0" w:rsidR="00324ABD" w:rsidRDefault="00324ABD" w:rsidP="00324ABD">
      <w:pPr>
        <w:pStyle w:val="Table-bodytext"/>
      </w:pPr>
    </w:p>
    <w:p w14:paraId="287DF111" w14:textId="7D810E3B" w:rsidR="00544622" w:rsidRDefault="00323485" w:rsidP="00247C48">
      <w:pPr>
        <w:pStyle w:val="ParagraphText-unnumbered"/>
      </w:pPr>
      <w:r>
        <w:t>CwPAMS</w:t>
      </w:r>
      <w:r w:rsidR="009025F6">
        <w:t>' culture of sharing and learning underpin</w:t>
      </w:r>
      <w:r w:rsidR="009F665F">
        <w:t xml:space="preserve">s much of </w:t>
      </w:r>
      <w:r w:rsidR="00B30D62">
        <w:t>the success within the grant</w:t>
      </w:r>
      <w:r w:rsidR="009025F6">
        <w:t>. Extension partnerships and refining processes</w:t>
      </w:r>
      <w:r w:rsidR="00586628">
        <w:t>,</w:t>
      </w:r>
      <w:r w:rsidR="009025F6">
        <w:t xml:space="preserve"> such as delivery chain mapping</w:t>
      </w:r>
      <w:r w:rsidR="00984598">
        <w:t>,</w:t>
      </w:r>
      <w:r w:rsidR="009025F6">
        <w:t xml:space="preserve"> have built learnings into</w:t>
      </w:r>
      <w:r w:rsidR="007805A0">
        <w:t xml:space="preserve"> future</w:t>
      </w:r>
      <w:r w:rsidR="009025F6">
        <w:t xml:space="preserve"> </w:t>
      </w:r>
      <w:r w:rsidR="00391B91">
        <w:t>delivery</w:t>
      </w:r>
      <w:r w:rsidR="00F3445D">
        <w:t>.</w:t>
      </w:r>
    </w:p>
    <w:p w14:paraId="2FEF2F7F" w14:textId="5B0BE684" w:rsidR="008B59FE" w:rsidRDefault="00274974">
      <w:pPr>
        <w:rPr>
          <w:b/>
          <w:sz w:val="29"/>
          <w:szCs w:val="29"/>
        </w:rPr>
      </w:pPr>
      <w:r>
        <w:t>Burkina Faso, Nigeria and Senegal experienced delays in receiving laboratory supplies and will begin implementing</w:t>
      </w:r>
      <w:r w:rsidR="00264E34">
        <w:t xml:space="preserve"> Tricycle</w:t>
      </w:r>
      <w:r>
        <w:t xml:space="preserve"> in 2022.</w:t>
      </w:r>
    </w:p>
    <w:p w14:paraId="404CDB39" w14:textId="18A64BB9" w:rsidR="00015243" w:rsidRDefault="00015243" w:rsidP="00015243">
      <w:pPr>
        <w:pStyle w:val="Heading3"/>
      </w:pPr>
      <w:r w:rsidRPr="00015243">
        <w:lastRenderedPageBreak/>
        <w:t>3.</w:t>
      </w:r>
      <w:r>
        <w:t xml:space="preserve">3 </w:t>
      </w:r>
      <w:r w:rsidR="009A42BE">
        <w:t>Strengthening capacity and workforce on AMR</w:t>
      </w:r>
    </w:p>
    <w:p w14:paraId="5915106C" w14:textId="742BB0CE" w:rsidR="00E2178D" w:rsidRPr="00E2178D" w:rsidRDefault="00E2178D" w:rsidP="00E2178D">
      <w:pPr>
        <w:pStyle w:val="ParagraphText-unnumbered"/>
        <w:rPr>
          <w:b/>
          <w:bCs/>
        </w:rPr>
      </w:pPr>
      <w:r w:rsidRPr="00E2178D">
        <w:rPr>
          <w:b/>
          <w:bCs/>
        </w:rPr>
        <w:t xml:space="preserve">Output number: </w:t>
      </w:r>
      <w:r w:rsidR="007378F0">
        <w:rPr>
          <w:b/>
          <w:bCs/>
        </w:rPr>
        <w:t>3</w:t>
      </w:r>
    </w:p>
    <w:p w14:paraId="1823D4E1" w14:textId="4B2AC659" w:rsidR="00E2178D" w:rsidRPr="00E2178D" w:rsidRDefault="00E2178D" w:rsidP="00E2178D">
      <w:pPr>
        <w:pStyle w:val="ParagraphText-unnumbered"/>
        <w:rPr>
          <w:b/>
          <w:bCs/>
        </w:rPr>
      </w:pPr>
      <w:r w:rsidRPr="00E2178D">
        <w:rPr>
          <w:b/>
          <w:bCs/>
        </w:rPr>
        <w:t>Output score: A</w:t>
      </w:r>
      <w:r w:rsidR="007378F0">
        <w:rPr>
          <w:b/>
          <w:bCs/>
        </w:rPr>
        <w:t>+</w:t>
      </w:r>
    </w:p>
    <w:p w14:paraId="5623627B" w14:textId="27DC6248" w:rsidR="009D42D7" w:rsidRPr="00E2178D" w:rsidRDefault="00E2178D" w:rsidP="009D42D7">
      <w:pPr>
        <w:pStyle w:val="ParagraphText-unnumbered"/>
        <w:rPr>
          <w:b/>
        </w:rPr>
      </w:pPr>
      <w:r w:rsidRPr="00E2178D">
        <w:rPr>
          <w:b/>
          <w:bCs/>
        </w:rPr>
        <w:t>Impact weighting: 1</w:t>
      </w:r>
      <w:r w:rsidR="007378F0">
        <w:rPr>
          <w:b/>
          <w:bCs/>
        </w:rPr>
        <w:t>0</w:t>
      </w:r>
      <w:r w:rsidRPr="00E2178D">
        <w:rPr>
          <w:b/>
          <w:bCs/>
        </w:rPr>
        <w:t>%</w:t>
      </w:r>
    </w:p>
    <w:tbl>
      <w:tblPr>
        <w:tblStyle w:val="DHSCtable"/>
        <w:tblW w:w="9628" w:type="dxa"/>
        <w:tblLook w:val="04A0" w:firstRow="1" w:lastRow="0" w:firstColumn="1" w:lastColumn="0" w:noHBand="0" w:noVBand="1"/>
      </w:tblPr>
      <w:tblGrid>
        <w:gridCol w:w="4363"/>
        <w:gridCol w:w="1410"/>
        <w:gridCol w:w="3855"/>
      </w:tblGrid>
      <w:tr w:rsidR="00015243" w:rsidRPr="00015243" w14:paraId="153ED2BD" w14:textId="77777777" w:rsidTr="005A7BD7">
        <w:trPr>
          <w:cnfStyle w:val="100000000000" w:firstRow="1" w:lastRow="0" w:firstColumn="0" w:lastColumn="0" w:oddVBand="0" w:evenVBand="0" w:oddHBand="0" w:evenHBand="0" w:firstRowFirstColumn="0" w:firstRowLastColumn="0" w:lastRowFirstColumn="0" w:lastRowLastColumn="0"/>
        </w:trPr>
        <w:tc>
          <w:tcPr>
            <w:tcW w:w="4363" w:type="dxa"/>
          </w:tcPr>
          <w:p w14:paraId="5F82DDE4" w14:textId="77777777" w:rsidR="00015243" w:rsidRPr="005A7BD7" w:rsidRDefault="00015243" w:rsidP="009A42BE">
            <w:pPr>
              <w:pStyle w:val="Table-headertext"/>
              <w:rPr>
                <w:rStyle w:val="Bold"/>
                <w:rFonts w:ascii="Arial" w:hAnsi="Arial" w:cs="Arial"/>
                <w:b/>
              </w:rPr>
            </w:pPr>
            <w:r w:rsidRPr="005A7BD7">
              <w:rPr>
                <w:rStyle w:val="Bold"/>
                <w:rFonts w:ascii="Arial" w:hAnsi="Arial" w:cs="Arial"/>
                <w:b/>
              </w:rPr>
              <w:t>Indicator(s)</w:t>
            </w:r>
          </w:p>
        </w:tc>
        <w:tc>
          <w:tcPr>
            <w:tcW w:w="1410" w:type="dxa"/>
          </w:tcPr>
          <w:p w14:paraId="3A8758E8" w14:textId="77777777" w:rsidR="00015243" w:rsidRPr="005A7BD7" w:rsidRDefault="00015243" w:rsidP="009A42BE">
            <w:pPr>
              <w:pStyle w:val="Table-headertext"/>
              <w:rPr>
                <w:rStyle w:val="Bold"/>
                <w:rFonts w:ascii="Arial" w:hAnsi="Arial" w:cs="Arial"/>
                <w:b/>
              </w:rPr>
            </w:pPr>
            <w:r w:rsidRPr="005A7BD7">
              <w:rPr>
                <w:rStyle w:val="Bold"/>
                <w:rFonts w:ascii="Arial" w:hAnsi="Arial" w:cs="Arial"/>
                <w:b/>
              </w:rPr>
              <w:t>Milestone for the review</w:t>
            </w:r>
          </w:p>
        </w:tc>
        <w:tc>
          <w:tcPr>
            <w:tcW w:w="3855" w:type="dxa"/>
          </w:tcPr>
          <w:p w14:paraId="756A9764" w14:textId="77777777" w:rsidR="00015243" w:rsidRPr="005A7BD7" w:rsidRDefault="00015243" w:rsidP="009A42BE">
            <w:pPr>
              <w:pStyle w:val="Table-headertext"/>
              <w:rPr>
                <w:rStyle w:val="Bold"/>
                <w:rFonts w:ascii="Arial" w:hAnsi="Arial" w:cs="Arial"/>
                <w:b/>
              </w:rPr>
            </w:pPr>
            <w:r w:rsidRPr="005A7BD7">
              <w:rPr>
                <w:rStyle w:val="Bold"/>
                <w:rFonts w:ascii="Arial" w:hAnsi="Arial" w:cs="Arial"/>
                <w:b/>
              </w:rPr>
              <w:t>Progress</w:t>
            </w:r>
          </w:p>
        </w:tc>
      </w:tr>
      <w:tr w:rsidR="001228C3" w:rsidRPr="00015243" w14:paraId="378770FC" w14:textId="77777777" w:rsidTr="005A7BD7">
        <w:tc>
          <w:tcPr>
            <w:tcW w:w="4363" w:type="dxa"/>
          </w:tcPr>
          <w:p w14:paraId="403A9F1F" w14:textId="59727A9A" w:rsidR="001228C3" w:rsidRPr="005A7BD7" w:rsidRDefault="00025469" w:rsidP="00015243">
            <w:pPr>
              <w:rPr>
                <w:rFonts w:cs="Arial"/>
              </w:rPr>
            </w:pPr>
            <w:r w:rsidRPr="005A7BD7">
              <w:rPr>
                <w:rFonts w:cs="Arial"/>
              </w:rPr>
              <w:t xml:space="preserve">3.1 </w:t>
            </w:r>
            <w:r w:rsidR="00C47B7F" w:rsidRPr="005A7BD7">
              <w:rPr>
                <w:rFonts w:cs="Arial"/>
              </w:rPr>
              <w:t>Number of ODI Fellows placed (ODI)</w:t>
            </w:r>
          </w:p>
        </w:tc>
        <w:tc>
          <w:tcPr>
            <w:tcW w:w="1410" w:type="dxa"/>
          </w:tcPr>
          <w:p w14:paraId="23F7307F" w14:textId="62465632" w:rsidR="001228C3" w:rsidRPr="005A7BD7" w:rsidRDefault="0066747C" w:rsidP="00015243">
            <w:pPr>
              <w:rPr>
                <w:rFonts w:cs="Arial"/>
              </w:rPr>
            </w:pPr>
            <w:r w:rsidRPr="005A7BD7">
              <w:rPr>
                <w:rFonts w:cs="Arial"/>
              </w:rPr>
              <w:t>7</w:t>
            </w:r>
          </w:p>
        </w:tc>
        <w:tc>
          <w:tcPr>
            <w:tcW w:w="3855" w:type="dxa"/>
          </w:tcPr>
          <w:p w14:paraId="1389E47E" w14:textId="77777777" w:rsidR="001228C3" w:rsidRPr="005A7BD7" w:rsidRDefault="0054568E" w:rsidP="0054568E">
            <w:pPr>
              <w:pStyle w:val="Bullet"/>
              <w:rPr>
                <w:rStyle w:val="Bold"/>
                <w:rFonts w:cs="Arial"/>
                <w:b w:val="0"/>
              </w:rPr>
            </w:pPr>
            <w:r w:rsidRPr="005A7BD7">
              <w:rPr>
                <w:rStyle w:val="Bold"/>
                <w:rFonts w:cs="Arial"/>
              </w:rPr>
              <w:t>Not</w:t>
            </w:r>
            <w:r w:rsidRPr="005A7BD7">
              <w:rPr>
                <w:rStyle w:val="Bold"/>
                <w:rFonts w:cs="Arial"/>
                <w:b w:val="0"/>
              </w:rPr>
              <w:t xml:space="preserve"> </w:t>
            </w:r>
            <w:r w:rsidRPr="005A7BD7">
              <w:rPr>
                <w:rStyle w:val="Bold"/>
                <w:rFonts w:cs="Arial"/>
              </w:rPr>
              <w:t>achieved</w:t>
            </w:r>
          </w:p>
          <w:p w14:paraId="1C263C20" w14:textId="1DDBE779" w:rsidR="00D62DCE" w:rsidRPr="005A7BD7" w:rsidRDefault="00D62DCE" w:rsidP="001C1F8A">
            <w:pPr>
              <w:pStyle w:val="Table-bodytext"/>
              <w:rPr>
                <w:b w:val="0"/>
              </w:rPr>
            </w:pPr>
            <w:r w:rsidRPr="005A7BD7">
              <w:rPr>
                <w:b w:val="0"/>
              </w:rPr>
              <w:t>1</w:t>
            </w:r>
            <w:r w:rsidR="001C1F8A" w:rsidRPr="005A7BD7">
              <w:rPr>
                <w:b w:val="0"/>
              </w:rPr>
              <w:t xml:space="preserve"> ODI Fellow placed</w:t>
            </w:r>
          </w:p>
          <w:p w14:paraId="5D0C2F82" w14:textId="31DFA4D5" w:rsidR="007E3948" w:rsidRPr="005A7BD7" w:rsidRDefault="00D62DCE" w:rsidP="00D62DCE">
            <w:pPr>
              <w:pStyle w:val="Table-bodytext"/>
              <w:rPr>
                <w:b w:val="0"/>
              </w:rPr>
            </w:pPr>
            <w:r w:rsidRPr="005A7BD7">
              <w:rPr>
                <w:b w:val="0"/>
              </w:rPr>
              <w:t xml:space="preserve">2 fellowships in HITAP Thailand ended </w:t>
            </w:r>
            <w:r w:rsidR="007E3948" w:rsidRPr="005A7BD7">
              <w:rPr>
                <w:b w:val="0"/>
              </w:rPr>
              <w:t>in 2021.</w:t>
            </w:r>
          </w:p>
        </w:tc>
      </w:tr>
      <w:tr w:rsidR="001228C3" w:rsidRPr="00015243" w14:paraId="2823387D" w14:textId="77777777" w:rsidTr="005A7BD7">
        <w:tc>
          <w:tcPr>
            <w:tcW w:w="4363" w:type="dxa"/>
          </w:tcPr>
          <w:p w14:paraId="62063675" w14:textId="3D91EAEB" w:rsidR="001228C3" w:rsidRPr="005A7BD7" w:rsidRDefault="00025469" w:rsidP="00015243">
            <w:pPr>
              <w:rPr>
                <w:rFonts w:cs="Arial"/>
              </w:rPr>
            </w:pPr>
            <w:r w:rsidRPr="005A7BD7">
              <w:rPr>
                <w:rFonts w:cs="Arial"/>
              </w:rPr>
              <w:t xml:space="preserve">3.2 </w:t>
            </w:r>
            <w:r w:rsidR="00C47B7F" w:rsidRPr="005A7BD7">
              <w:rPr>
                <w:rFonts w:cs="Arial"/>
              </w:rPr>
              <w:t>Number of Professional Cohort 1, Cohort 2 and Policy Fellows selected cumulatively (</w:t>
            </w:r>
            <w:r w:rsidR="00C442DE">
              <w:rPr>
                <w:rFonts w:cs="Arial"/>
              </w:rPr>
              <w:t>MA</w:t>
            </w:r>
            <w:r w:rsidR="00C47B7F" w:rsidRPr="005A7BD7">
              <w:rPr>
                <w:rFonts w:cs="Arial"/>
              </w:rPr>
              <w:t>)</w:t>
            </w:r>
          </w:p>
        </w:tc>
        <w:tc>
          <w:tcPr>
            <w:tcW w:w="1410" w:type="dxa"/>
          </w:tcPr>
          <w:p w14:paraId="1DBEDF83" w14:textId="77777777" w:rsidR="005809EA" w:rsidRPr="005A7BD7" w:rsidRDefault="005809EA" w:rsidP="00015243">
            <w:pPr>
              <w:rPr>
                <w:rFonts w:cs="Arial"/>
              </w:rPr>
            </w:pPr>
            <w:r w:rsidRPr="005A7BD7">
              <w:rPr>
                <w:rFonts w:cs="Arial"/>
              </w:rPr>
              <w:t>80%</w:t>
            </w:r>
          </w:p>
          <w:p w14:paraId="572D75F3" w14:textId="6928B321" w:rsidR="001228C3" w:rsidRPr="005A7BD7" w:rsidRDefault="005809EA" w:rsidP="00015243">
            <w:pPr>
              <w:rPr>
                <w:rFonts w:cs="Arial"/>
              </w:rPr>
            </w:pPr>
            <w:r w:rsidRPr="005A7BD7">
              <w:rPr>
                <w:rFonts w:cs="Arial"/>
              </w:rPr>
              <w:t>(</w:t>
            </w:r>
            <w:r w:rsidR="0066747C" w:rsidRPr="005A7BD7">
              <w:rPr>
                <w:rFonts w:cs="Arial"/>
              </w:rPr>
              <w:t>171/213</w:t>
            </w:r>
            <w:r w:rsidRPr="005A7BD7">
              <w:rPr>
                <w:rFonts w:cs="Arial"/>
              </w:rPr>
              <w:t>)</w:t>
            </w:r>
          </w:p>
          <w:p w14:paraId="23640836" w14:textId="5CA8EA32" w:rsidR="0066747C" w:rsidRPr="005A7BD7" w:rsidRDefault="0066747C" w:rsidP="0066747C">
            <w:pPr>
              <w:jc w:val="center"/>
              <w:rPr>
                <w:rFonts w:cs="Arial"/>
              </w:rPr>
            </w:pPr>
          </w:p>
        </w:tc>
        <w:tc>
          <w:tcPr>
            <w:tcW w:w="3855" w:type="dxa"/>
          </w:tcPr>
          <w:p w14:paraId="2FAEB6A4" w14:textId="77777777" w:rsidR="001228C3" w:rsidRPr="005A7BD7" w:rsidRDefault="0054568E" w:rsidP="0054568E">
            <w:pPr>
              <w:pStyle w:val="Bullet"/>
              <w:rPr>
                <w:rFonts w:cs="Arial"/>
              </w:rPr>
            </w:pPr>
            <w:r w:rsidRPr="005A7BD7">
              <w:rPr>
                <w:rStyle w:val="Bold"/>
                <w:rFonts w:cs="Arial"/>
              </w:rPr>
              <w:t>Surpassed</w:t>
            </w:r>
          </w:p>
          <w:p w14:paraId="719B976D" w14:textId="551C9CCF" w:rsidR="001C1F8A" w:rsidRPr="005A7BD7" w:rsidRDefault="0025582F" w:rsidP="001C1F8A">
            <w:pPr>
              <w:pStyle w:val="Table-bodytext"/>
              <w:rPr>
                <w:b w:val="0"/>
              </w:rPr>
            </w:pPr>
            <w:r w:rsidRPr="005A7BD7">
              <w:rPr>
                <w:b w:val="0"/>
              </w:rPr>
              <w:t>178</w:t>
            </w:r>
            <w:r w:rsidR="001A688E" w:rsidRPr="005A7BD7">
              <w:rPr>
                <w:b w:val="0"/>
              </w:rPr>
              <w:t xml:space="preserve"> (83%)</w:t>
            </w:r>
            <w:r w:rsidRPr="005A7BD7">
              <w:rPr>
                <w:b w:val="0"/>
              </w:rPr>
              <w:t xml:space="preserve"> Fellows total</w:t>
            </w:r>
            <w:r w:rsidR="00056D78" w:rsidRPr="005A7BD7">
              <w:rPr>
                <w:b w:val="0"/>
              </w:rPr>
              <w:t>:</w:t>
            </w:r>
          </w:p>
          <w:p w14:paraId="4F0B2517" w14:textId="77777777" w:rsidR="0025582F" w:rsidRPr="005A7BD7" w:rsidRDefault="0025582F" w:rsidP="001C1F8A">
            <w:pPr>
              <w:pStyle w:val="Table-bodytext"/>
              <w:rPr>
                <w:b w:val="0"/>
              </w:rPr>
            </w:pPr>
            <w:r w:rsidRPr="005A7BD7">
              <w:rPr>
                <w:b w:val="0"/>
              </w:rPr>
              <w:t>128 C1 Fellowships filled</w:t>
            </w:r>
          </w:p>
          <w:p w14:paraId="4975D532" w14:textId="54D6C3FC" w:rsidR="0025582F" w:rsidRPr="005A7BD7" w:rsidRDefault="0025582F" w:rsidP="001C1F8A">
            <w:pPr>
              <w:pStyle w:val="Table-bodytext"/>
              <w:rPr>
                <w:b w:val="0"/>
              </w:rPr>
            </w:pPr>
            <w:r w:rsidRPr="005A7BD7">
              <w:rPr>
                <w:b w:val="0"/>
              </w:rPr>
              <w:t>28 C2 Fellowships appointed</w:t>
            </w:r>
          </w:p>
          <w:p w14:paraId="4F9BD410" w14:textId="75310D9E" w:rsidR="0025582F" w:rsidRPr="005A7BD7" w:rsidRDefault="0025582F" w:rsidP="001C1F8A">
            <w:pPr>
              <w:pStyle w:val="Table-bodytext"/>
              <w:rPr>
                <w:b w:val="0"/>
              </w:rPr>
            </w:pPr>
            <w:r w:rsidRPr="005A7BD7">
              <w:rPr>
                <w:b w:val="0"/>
              </w:rPr>
              <w:t>22 Policy Fellowships appointed</w:t>
            </w:r>
          </w:p>
        </w:tc>
      </w:tr>
      <w:tr w:rsidR="002C5DD8" w:rsidRPr="00015243" w14:paraId="0DC42B7E" w14:textId="77777777" w:rsidTr="005A7BD7">
        <w:tc>
          <w:tcPr>
            <w:tcW w:w="4363" w:type="dxa"/>
          </w:tcPr>
          <w:p w14:paraId="57DE07D5" w14:textId="4677C3E0" w:rsidR="002C5DD8" w:rsidRPr="005A7BD7" w:rsidRDefault="00025469" w:rsidP="0004454A">
            <w:pPr>
              <w:pStyle w:val="Table-bodytext"/>
              <w:rPr>
                <w:b w:val="0"/>
              </w:rPr>
            </w:pPr>
            <w:r w:rsidRPr="005A7BD7">
              <w:rPr>
                <w:b w:val="0"/>
              </w:rPr>
              <w:t xml:space="preserve">3.3 </w:t>
            </w:r>
            <w:r w:rsidR="0004454A" w:rsidRPr="005A7BD7">
              <w:rPr>
                <w:b w:val="0"/>
              </w:rPr>
              <w:t>Percentage of learners who attempt and pass a quiz at the end of a module (</w:t>
            </w:r>
            <w:r w:rsidR="00C442DE">
              <w:rPr>
                <w:b w:val="0"/>
              </w:rPr>
              <w:t>MA</w:t>
            </w:r>
            <w:r w:rsidR="0004454A" w:rsidRPr="005A7BD7">
              <w:rPr>
                <w:b w:val="0"/>
              </w:rPr>
              <w:t>)</w:t>
            </w:r>
          </w:p>
        </w:tc>
        <w:tc>
          <w:tcPr>
            <w:tcW w:w="1410" w:type="dxa"/>
          </w:tcPr>
          <w:p w14:paraId="7BDF4906" w14:textId="425387AA" w:rsidR="002C5DD8" w:rsidRPr="005A7BD7" w:rsidRDefault="0004454A" w:rsidP="00015243">
            <w:pPr>
              <w:rPr>
                <w:rFonts w:cs="Arial"/>
              </w:rPr>
            </w:pPr>
            <w:r w:rsidRPr="005A7BD7">
              <w:rPr>
                <w:rFonts w:cs="Arial"/>
              </w:rPr>
              <w:t>75%</w:t>
            </w:r>
          </w:p>
        </w:tc>
        <w:tc>
          <w:tcPr>
            <w:tcW w:w="3855" w:type="dxa"/>
          </w:tcPr>
          <w:p w14:paraId="2B735CD3" w14:textId="77777777" w:rsidR="002C5DD8" w:rsidRPr="005A7BD7" w:rsidRDefault="0054568E" w:rsidP="0054568E">
            <w:pPr>
              <w:pStyle w:val="Bullet"/>
              <w:rPr>
                <w:rFonts w:cs="Arial"/>
              </w:rPr>
            </w:pPr>
            <w:r w:rsidRPr="005A7BD7">
              <w:rPr>
                <w:rStyle w:val="Bold"/>
                <w:rFonts w:cs="Arial"/>
              </w:rPr>
              <w:t>Surpassed</w:t>
            </w:r>
          </w:p>
          <w:p w14:paraId="4001526E" w14:textId="4E7AF90D" w:rsidR="0025582F" w:rsidRPr="005A7BD7" w:rsidRDefault="00F04A30" w:rsidP="0025582F">
            <w:pPr>
              <w:pStyle w:val="Table-bodytext"/>
              <w:rPr>
                <w:b w:val="0"/>
              </w:rPr>
            </w:pPr>
            <w:r w:rsidRPr="005A7BD7">
              <w:rPr>
                <w:b w:val="0"/>
              </w:rPr>
              <w:t>88% (294/335)</w:t>
            </w:r>
          </w:p>
        </w:tc>
      </w:tr>
      <w:tr w:rsidR="001228C3" w:rsidRPr="00015243" w14:paraId="2A196122" w14:textId="77777777" w:rsidTr="005A7BD7">
        <w:tc>
          <w:tcPr>
            <w:tcW w:w="4363" w:type="dxa"/>
          </w:tcPr>
          <w:p w14:paraId="6A3AE29B" w14:textId="5D890B76" w:rsidR="001228C3" w:rsidRPr="005A7BD7" w:rsidRDefault="00025469" w:rsidP="00015243">
            <w:pPr>
              <w:rPr>
                <w:rFonts w:cs="Arial"/>
              </w:rPr>
            </w:pPr>
            <w:r w:rsidRPr="005A7BD7">
              <w:rPr>
                <w:rFonts w:cs="Arial"/>
              </w:rPr>
              <w:t xml:space="preserve">3.4 </w:t>
            </w:r>
            <w:r w:rsidR="00043673" w:rsidRPr="005A7BD7">
              <w:rPr>
                <w:rFonts w:cs="Arial"/>
              </w:rPr>
              <w:t>Percentage of stakeholders attending virtual programme trainings (GESI and PPS) demonstrating improved understanding after training (CwPAMS)</w:t>
            </w:r>
          </w:p>
        </w:tc>
        <w:tc>
          <w:tcPr>
            <w:tcW w:w="1410" w:type="dxa"/>
          </w:tcPr>
          <w:p w14:paraId="70145449" w14:textId="476C5E4C" w:rsidR="001228C3" w:rsidRPr="005A7BD7" w:rsidRDefault="0004454A" w:rsidP="00015243">
            <w:pPr>
              <w:rPr>
                <w:rFonts w:cs="Arial"/>
              </w:rPr>
            </w:pPr>
            <w:r w:rsidRPr="005A7BD7">
              <w:rPr>
                <w:rFonts w:cs="Arial"/>
              </w:rPr>
              <w:t>80%</w:t>
            </w:r>
          </w:p>
        </w:tc>
        <w:tc>
          <w:tcPr>
            <w:tcW w:w="3855" w:type="dxa"/>
          </w:tcPr>
          <w:p w14:paraId="5388A7D3" w14:textId="77777777" w:rsidR="001228C3" w:rsidRPr="005A7BD7" w:rsidRDefault="0054568E" w:rsidP="0054568E">
            <w:pPr>
              <w:pStyle w:val="Bullet"/>
              <w:rPr>
                <w:rFonts w:cs="Arial"/>
              </w:rPr>
            </w:pPr>
            <w:r w:rsidRPr="005A7BD7">
              <w:rPr>
                <w:rStyle w:val="Bold"/>
                <w:rFonts w:cs="Arial"/>
              </w:rPr>
              <w:t>Surpassed</w:t>
            </w:r>
          </w:p>
          <w:p w14:paraId="5D1D6B9F" w14:textId="7F8D7CF6" w:rsidR="00F04A30" w:rsidRPr="005A7BD7" w:rsidRDefault="00F04A30" w:rsidP="00F04A30">
            <w:pPr>
              <w:pStyle w:val="Table-bodytext"/>
              <w:rPr>
                <w:b w:val="0"/>
              </w:rPr>
            </w:pPr>
            <w:r w:rsidRPr="005A7BD7">
              <w:rPr>
                <w:b w:val="0"/>
              </w:rPr>
              <w:t>PPS: 90.5%</w:t>
            </w:r>
          </w:p>
          <w:p w14:paraId="71FFF3E8" w14:textId="7FE62B52" w:rsidR="00917DE0" w:rsidRPr="005A7BD7" w:rsidRDefault="00917DE0" w:rsidP="00F04A30">
            <w:pPr>
              <w:pStyle w:val="Table-bodytext"/>
              <w:rPr>
                <w:b w:val="0"/>
              </w:rPr>
            </w:pPr>
            <w:r w:rsidRPr="005A7BD7">
              <w:rPr>
                <w:b w:val="0"/>
              </w:rPr>
              <w:t>68 respondents found the training useful (21) or extremely useful (47).</w:t>
            </w:r>
          </w:p>
          <w:p w14:paraId="56F257A6" w14:textId="749769CF" w:rsidR="00917DE0" w:rsidRPr="005A7BD7" w:rsidRDefault="00F04A30" w:rsidP="00F04A30">
            <w:pPr>
              <w:pStyle w:val="Table-bodytext"/>
              <w:rPr>
                <w:b w:val="0"/>
              </w:rPr>
            </w:pPr>
            <w:r w:rsidRPr="005A7BD7">
              <w:rPr>
                <w:b w:val="0"/>
              </w:rPr>
              <w:t>GESI 95%</w:t>
            </w:r>
          </w:p>
        </w:tc>
      </w:tr>
      <w:tr w:rsidR="001228C3" w:rsidRPr="00015243" w14:paraId="03EB4FF3" w14:textId="77777777" w:rsidTr="005A7BD7">
        <w:tc>
          <w:tcPr>
            <w:tcW w:w="4363" w:type="dxa"/>
          </w:tcPr>
          <w:p w14:paraId="2AB0296C" w14:textId="18F5DF20" w:rsidR="001228C3" w:rsidRPr="005A7BD7" w:rsidRDefault="00025469" w:rsidP="00015243">
            <w:pPr>
              <w:rPr>
                <w:rFonts w:cs="Arial"/>
              </w:rPr>
            </w:pPr>
            <w:r w:rsidRPr="005A7BD7">
              <w:rPr>
                <w:rFonts w:cs="Arial"/>
              </w:rPr>
              <w:t xml:space="preserve">3.5 </w:t>
            </w:r>
            <w:r w:rsidR="00043673" w:rsidRPr="005A7BD7">
              <w:rPr>
                <w:rFonts w:cs="Arial"/>
              </w:rPr>
              <w:t>Percentage of fellows (Cohort 1), who are completing fellowships in 2021, reporting improvement in 80% of dimension / domains in their self-assessments (</w:t>
            </w:r>
            <w:r w:rsidR="00C442DE">
              <w:rPr>
                <w:rFonts w:cs="Arial"/>
              </w:rPr>
              <w:t>MA</w:t>
            </w:r>
            <w:r w:rsidR="00043673" w:rsidRPr="005A7BD7">
              <w:rPr>
                <w:rFonts w:cs="Arial"/>
              </w:rPr>
              <w:t>)</w:t>
            </w:r>
          </w:p>
        </w:tc>
        <w:tc>
          <w:tcPr>
            <w:tcW w:w="1410" w:type="dxa"/>
          </w:tcPr>
          <w:p w14:paraId="4331E66E" w14:textId="45F70FBB" w:rsidR="001228C3" w:rsidRPr="005A7BD7" w:rsidRDefault="0004454A" w:rsidP="00015243">
            <w:pPr>
              <w:rPr>
                <w:rFonts w:cs="Arial"/>
              </w:rPr>
            </w:pPr>
            <w:r w:rsidRPr="005A7BD7">
              <w:rPr>
                <w:rFonts w:cs="Arial"/>
              </w:rPr>
              <w:t>80%</w:t>
            </w:r>
          </w:p>
        </w:tc>
        <w:tc>
          <w:tcPr>
            <w:tcW w:w="3855" w:type="dxa"/>
          </w:tcPr>
          <w:p w14:paraId="2AAF20A7" w14:textId="77777777" w:rsidR="001228C3" w:rsidRPr="005A7BD7" w:rsidRDefault="0054568E" w:rsidP="0054568E">
            <w:pPr>
              <w:pStyle w:val="Bullet"/>
              <w:rPr>
                <w:rFonts w:cs="Arial"/>
              </w:rPr>
            </w:pPr>
            <w:r w:rsidRPr="005A7BD7">
              <w:rPr>
                <w:rStyle w:val="Bold"/>
                <w:rFonts w:cs="Arial"/>
              </w:rPr>
              <w:t>Surpassed</w:t>
            </w:r>
          </w:p>
          <w:p w14:paraId="6C61EDC3" w14:textId="79156B54" w:rsidR="00917DE0" w:rsidRPr="005A7BD7" w:rsidRDefault="00D738E0" w:rsidP="00917DE0">
            <w:pPr>
              <w:pStyle w:val="Table-bodytext"/>
              <w:rPr>
                <w:b w:val="0"/>
              </w:rPr>
            </w:pPr>
            <w:r w:rsidRPr="005A7BD7">
              <w:rPr>
                <w:b w:val="0"/>
              </w:rPr>
              <w:t>100% of Uganda, Laos and Nigeria fellows reported improvement.</w:t>
            </w:r>
          </w:p>
        </w:tc>
      </w:tr>
      <w:tr w:rsidR="001228C3" w:rsidRPr="00015243" w14:paraId="0DFB2883" w14:textId="77777777" w:rsidTr="005A7BD7">
        <w:tc>
          <w:tcPr>
            <w:tcW w:w="4363" w:type="dxa"/>
          </w:tcPr>
          <w:p w14:paraId="41E5FD7D" w14:textId="07EC7D05" w:rsidR="001228C3" w:rsidRPr="005A7BD7" w:rsidRDefault="00025469" w:rsidP="00015243">
            <w:pPr>
              <w:rPr>
                <w:rFonts w:cs="Arial"/>
              </w:rPr>
            </w:pPr>
            <w:r w:rsidRPr="005A7BD7">
              <w:rPr>
                <w:rFonts w:cs="Arial"/>
              </w:rPr>
              <w:t xml:space="preserve">3.6 </w:t>
            </w:r>
            <w:r w:rsidR="00043673" w:rsidRPr="005A7BD7">
              <w:rPr>
                <w:rFonts w:cs="Arial"/>
              </w:rPr>
              <w:t>Number of completed fellowship webinars by end of December 2021 (</w:t>
            </w:r>
            <w:r w:rsidR="00C442DE">
              <w:rPr>
                <w:rFonts w:cs="Arial"/>
              </w:rPr>
              <w:t>MA</w:t>
            </w:r>
            <w:r w:rsidR="00043673" w:rsidRPr="005A7BD7">
              <w:rPr>
                <w:rFonts w:cs="Arial"/>
              </w:rPr>
              <w:t>)</w:t>
            </w:r>
          </w:p>
        </w:tc>
        <w:tc>
          <w:tcPr>
            <w:tcW w:w="1410" w:type="dxa"/>
          </w:tcPr>
          <w:p w14:paraId="2F3A7256" w14:textId="32235612" w:rsidR="001228C3" w:rsidRPr="005A7BD7" w:rsidRDefault="0004454A" w:rsidP="00015243">
            <w:pPr>
              <w:rPr>
                <w:rFonts w:cs="Arial"/>
              </w:rPr>
            </w:pPr>
            <w:r w:rsidRPr="005A7BD7">
              <w:rPr>
                <w:rFonts w:cs="Arial"/>
              </w:rPr>
              <w:t>7</w:t>
            </w:r>
          </w:p>
        </w:tc>
        <w:tc>
          <w:tcPr>
            <w:tcW w:w="3855" w:type="dxa"/>
          </w:tcPr>
          <w:p w14:paraId="73BF05A9" w14:textId="77777777" w:rsidR="001228C3" w:rsidRPr="005A7BD7" w:rsidRDefault="0054568E" w:rsidP="0054568E">
            <w:pPr>
              <w:pStyle w:val="Bullet"/>
              <w:rPr>
                <w:rFonts w:cs="Arial"/>
              </w:rPr>
            </w:pPr>
            <w:r w:rsidRPr="005A7BD7">
              <w:rPr>
                <w:rStyle w:val="Bold"/>
                <w:rFonts w:cs="Arial"/>
              </w:rPr>
              <w:t>Surpassed</w:t>
            </w:r>
          </w:p>
          <w:p w14:paraId="7041237B" w14:textId="7D1F8B39" w:rsidR="00D738E0" w:rsidRPr="005A7BD7" w:rsidRDefault="00D738E0" w:rsidP="00D738E0">
            <w:pPr>
              <w:pStyle w:val="Table-bodytext"/>
              <w:rPr>
                <w:b w:val="0"/>
              </w:rPr>
            </w:pPr>
            <w:r w:rsidRPr="005A7BD7">
              <w:rPr>
                <w:b w:val="0"/>
              </w:rPr>
              <w:t>12 webinars completed</w:t>
            </w:r>
          </w:p>
        </w:tc>
      </w:tr>
      <w:tr w:rsidR="001228C3" w:rsidRPr="00015243" w14:paraId="7B186415" w14:textId="77777777" w:rsidTr="009A2A91">
        <w:tc>
          <w:tcPr>
            <w:tcW w:w="4363" w:type="dxa"/>
          </w:tcPr>
          <w:p w14:paraId="774DE2C2" w14:textId="5B6A1D8A" w:rsidR="001228C3" w:rsidRPr="005A7BD7" w:rsidRDefault="00025469" w:rsidP="00015243">
            <w:pPr>
              <w:rPr>
                <w:rFonts w:cs="Arial"/>
              </w:rPr>
            </w:pPr>
            <w:r w:rsidRPr="005A7BD7">
              <w:rPr>
                <w:rFonts w:cs="Arial"/>
              </w:rPr>
              <w:t xml:space="preserve">3.7 </w:t>
            </w:r>
            <w:r w:rsidR="00043673" w:rsidRPr="005A7BD7">
              <w:rPr>
                <w:rFonts w:cs="Arial"/>
              </w:rPr>
              <w:t>Number of countries where AMR and AMU data generation platforms are piloted at Subnational level (FAO).</w:t>
            </w:r>
          </w:p>
        </w:tc>
        <w:tc>
          <w:tcPr>
            <w:tcW w:w="1410" w:type="dxa"/>
          </w:tcPr>
          <w:p w14:paraId="02011D06" w14:textId="5B80EB86" w:rsidR="001228C3" w:rsidRPr="005A7BD7" w:rsidRDefault="0004454A" w:rsidP="00015243">
            <w:pPr>
              <w:rPr>
                <w:rFonts w:cs="Arial"/>
              </w:rPr>
            </w:pPr>
            <w:r w:rsidRPr="005A7BD7">
              <w:rPr>
                <w:rFonts w:cs="Arial"/>
              </w:rPr>
              <w:t>10</w:t>
            </w:r>
          </w:p>
        </w:tc>
        <w:tc>
          <w:tcPr>
            <w:tcW w:w="3855" w:type="dxa"/>
            <w:shd w:val="clear" w:color="auto" w:fill="auto"/>
          </w:tcPr>
          <w:p w14:paraId="5D6F8905" w14:textId="77777777" w:rsidR="001228C3" w:rsidRPr="005A7BD7" w:rsidRDefault="0054568E" w:rsidP="009A2A91">
            <w:pPr>
              <w:pStyle w:val="Bullet"/>
              <w:spacing w:line="276" w:lineRule="auto"/>
              <w:rPr>
                <w:rFonts w:cs="Arial"/>
              </w:rPr>
            </w:pPr>
            <w:r w:rsidRPr="005A7BD7">
              <w:rPr>
                <w:rStyle w:val="Bold"/>
                <w:rFonts w:cs="Arial"/>
              </w:rPr>
              <w:t>Achieved</w:t>
            </w:r>
          </w:p>
          <w:p w14:paraId="7FC31C0F" w14:textId="7649DEA0" w:rsidR="00D738E0" w:rsidRPr="005A7BD7" w:rsidRDefault="00247C48" w:rsidP="00D738E0">
            <w:pPr>
              <w:pStyle w:val="Table-bodytext"/>
              <w:rPr>
                <w:b w:val="0"/>
              </w:rPr>
            </w:pPr>
            <w:r w:rsidRPr="005A7BD7">
              <w:rPr>
                <w:b w:val="0"/>
              </w:rPr>
              <w:t>10 pilot countries</w:t>
            </w:r>
          </w:p>
        </w:tc>
      </w:tr>
    </w:tbl>
    <w:p w14:paraId="3610C780" w14:textId="7297442B" w:rsidR="00A5147B" w:rsidRPr="0083248C" w:rsidRDefault="00EE1080" w:rsidP="0083248C">
      <w:pPr>
        <w:pStyle w:val="ParagraphText-unnumbered"/>
      </w:pPr>
      <w:r>
        <w:lastRenderedPageBreak/>
        <w:t>Policy fellows creatively adapted their AMR activities to fit with their increased workload</w:t>
      </w:r>
      <w:r w:rsidR="00415D6A">
        <w:t xml:space="preserve"> despite the challenges of COVID-19</w:t>
      </w:r>
      <w:r>
        <w:t>.</w:t>
      </w:r>
      <w:r w:rsidR="00415D6A">
        <w:t xml:space="preserve"> Three graduated in 2021 with more upcoming in 2022. However, </w:t>
      </w:r>
      <w:r w:rsidR="00E06F7D">
        <w:t>t</w:t>
      </w:r>
      <w:r w:rsidR="00F42AB7">
        <w:t xml:space="preserve">he number of ODI economic fellows was lower than expected. This was partly due to </w:t>
      </w:r>
      <w:r w:rsidR="00F42AB7" w:rsidRPr="00F42AB7">
        <w:t>COVID-19</w:t>
      </w:r>
      <w:r w:rsidR="00F42AB7">
        <w:t>, which</w:t>
      </w:r>
      <w:r w:rsidR="00F42AB7" w:rsidRPr="00F42AB7">
        <w:t xml:space="preserve"> prevented </w:t>
      </w:r>
      <w:r w:rsidR="003B4332">
        <w:t xml:space="preserve">the </w:t>
      </w:r>
      <w:r w:rsidR="00F42AB7" w:rsidRPr="00F42AB7">
        <w:t>visits needed to agree placement of an AMR fellow with national governments.</w:t>
      </w:r>
      <w:r w:rsidR="002E75E3">
        <w:t xml:space="preserve"> The economic f</w:t>
      </w:r>
      <w:r w:rsidR="00796C2E">
        <w:t>ellowships were not successfully aligned to individual country</w:t>
      </w:r>
      <w:r w:rsidR="005D501A">
        <w:t xml:space="preserve"> priorities, contributing t</w:t>
      </w:r>
      <w:r w:rsidR="007445C6">
        <w:t xml:space="preserve">o the discontinuation of many fellowships. </w:t>
      </w:r>
      <w:r w:rsidR="00A070B1">
        <w:t xml:space="preserve">A review of </w:t>
      </w:r>
      <w:r w:rsidR="00A14AD3">
        <w:t>the economic fellowship</w:t>
      </w:r>
      <w:r w:rsidR="00D950B4">
        <w:t xml:space="preserve">, </w:t>
      </w:r>
      <w:r w:rsidR="002A39B5">
        <w:t>considering</w:t>
      </w:r>
      <w:r w:rsidR="00A14AD3">
        <w:t xml:space="preserve"> its usefulness</w:t>
      </w:r>
      <w:r w:rsidR="002A39B5">
        <w:t>,</w:t>
      </w:r>
      <w:r w:rsidR="00B21216">
        <w:t xml:space="preserve"> would help </w:t>
      </w:r>
      <w:r w:rsidR="002A39B5">
        <w:t>to determine next steps</w:t>
      </w:r>
      <w:r w:rsidR="00B15DD9">
        <w:t>.</w:t>
      </w:r>
    </w:p>
    <w:p w14:paraId="0271E496" w14:textId="5B37F7A0" w:rsidR="00D450D5" w:rsidRDefault="00A44C35" w:rsidP="001503FF">
      <w:pPr>
        <w:pStyle w:val="Heading3"/>
      </w:pPr>
      <w:r w:rsidRPr="00A44C35">
        <w:t>3.</w:t>
      </w:r>
      <w:r>
        <w:t>4 Laboratory Equipment and Assessment</w:t>
      </w:r>
    </w:p>
    <w:p w14:paraId="64F695C6" w14:textId="7F354D19" w:rsidR="009017BB" w:rsidRPr="009017BB" w:rsidRDefault="009017BB" w:rsidP="009017BB">
      <w:pPr>
        <w:pStyle w:val="ParagraphText-unnumbered"/>
        <w:rPr>
          <w:b/>
          <w:bCs/>
        </w:rPr>
      </w:pPr>
      <w:r w:rsidRPr="009017BB">
        <w:rPr>
          <w:b/>
          <w:bCs/>
        </w:rPr>
        <w:t>Output number:</w:t>
      </w:r>
      <w:r w:rsidR="001F3871">
        <w:rPr>
          <w:b/>
          <w:bCs/>
        </w:rPr>
        <w:t xml:space="preserve"> 4</w:t>
      </w:r>
    </w:p>
    <w:p w14:paraId="62DCC7BC" w14:textId="45840B5C" w:rsidR="009017BB" w:rsidRPr="009017BB" w:rsidRDefault="009017BB" w:rsidP="009017BB">
      <w:pPr>
        <w:pStyle w:val="ParagraphText-unnumbered"/>
        <w:rPr>
          <w:b/>
          <w:bCs/>
        </w:rPr>
      </w:pPr>
      <w:r w:rsidRPr="009017BB">
        <w:rPr>
          <w:b/>
          <w:bCs/>
        </w:rPr>
        <w:t xml:space="preserve">Output score: </w:t>
      </w:r>
      <w:r w:rsidR="001F3871">
        <w:rPr>
          <w:b/>
          <w:bCs/>
        </w:rPr>
        <w:t>B</w:t>
      </w:r>
    </w:p>
    <w:p w14:paraId="0D238F58" w14:textId="7340276C" w:rsidR="00C976D8" w:rsidRPr="001F3871" w:rsidRDefault="009017BB" w:rsidP="00C976D8">
      <w:pPr>
        <w:pStyle w:val="ParagraphText-unnumbered"/>
        <w:rPr>
          <w:b/>
        </w:rPr>
      </w:pPr>
      <w:r w:rsidRPr="009017BB">
        <w:rPr>
          <w:b/>
          <w:bCs/>
        </w:rPr>
        <w:t>Impact weighting: 15%</w:t>
      </w:r>
    </w:p>
    <w:tbl>
      <w:tblPr>
        <w:tblStyle w:val="DHSCtable"/>
        <w:tblW w:w="9628" w:type="dxa"/>
        <w:tblLook w:val="04A0" w:firstRow="1" w:lastRow="0" w:firstColumn="1" w:lastColumn="0" w:noHBand="0" w:noVBand="1"/>
      </w:tblPr>
      <w:tblGrid>
        <w:gridCol w:w="4740"/>
        <w:gridCol w:w="1350"/>
        <w:gridCol w:w="3538"/>
      </w:tblGrid>
      <w:tr w:rsidR="001503FF" w:rsidRPr="00EE59F4" w14:paraId="33028B7C" w14:textId="77777777" w:rsidTr="005A7BD7">
        <w:trPr>
          <w:cnfStyle w:val="100000000000" w:firstRow="1" w:lastRow="0" w:firstColumn="0" w:lastColumn="0" w:oddVBand="0" w:evenVBand="0" w:oddHBand="0" w:evenHBand="0" w:firstRowFirstColumn="0" w:firstRowLastColumn="0" w:lastRowFirstColumn="0" w:lastRowLastColumn="0"/>
        </w:trPr>
        <w:tc>
          <w:tcPr>
            <w:tcW w:w="4740" w:type="dxa"/>
          </w:tcPr>
          <w:p w14:paraId="2FA760EF" w14:textId="17E7AD42" w:rsidR="001503FF" w:rsidRPr="005A7BD7" w:rsidRDefault="001503FF" w:rsidP="001503FF">
            <w:pPr>
              <w:rPr>
                <w:rStyle w:val="Bold"/>
                <w:rFonts w:ascii="Arial" w:hAnsi="Arial" w:cs="Arial"/>
                <w:b/>
              </w:rPr>
            </w:pPr>
            <w:r w:rsidRPr="005A7BD7">
              <w:rPr>
                <w:rStyle w:val="Bold"/>
                <w:rFonts w:ascii="Arial" w:hAnsi="Arial" w:cs="Arial"/>
                <w:b/>
              </w:rPr>
              <w:t>Indicator(s)</w:t>
            </w:r>
          </w:p>
        </w:tc>
        <w:tc>
          <w:tcPr>
            <w:tcW w:w="1350" w:type="dxa"/>
          </w:tcPr>
          <w:p w14:paraId="433E7D8D" w14:textId="324E01EE" w:rsidR="001503FF" w:rsidRPr="005A7BD7" w:rsidRDefault="001503FF" w:rsidP="001503FF">
            <w:pPr>
              <w:rPr>
                <w:rStyle w:val="Bold"/>
                <w:rFonts w:ascii="Arial" w:hAnsi="Arial" w:cs="Arial"/>
                <w:b/>
              </w:rPr>
            </w:pPr>
            <w:r w:rsidRPr="005A7BD7">
              <w:rPr>
                <w:rStyle w:val="Bold"/>
                <w:rFonts w:ascii="Arial" w:hAnsi="Arial" w:cs="Arial"/>
                <w:b/>
              </w:rPr>
              <w:t>Milestone for the review</w:t>
            </w:r>
          </w:p>
        </w:tc>
        <w:tc>
          <w:tcPr>
            <w:tcW w:w="3538" w:type="dxa"/>
          </w:tcPr>
          <w:p w14:paraId="4F636410" w14:textId="036622FF" w:rsidR="001503FF" w:rsidRPr="005A7BD7" w:rsidRDefault="001503FF" w:rsidP="001503FF">
            <w:pPr>
              <w:rPr>
                <w:rStyle w:val="Bold"/>
                <w:rFonts w:ascii="Arial" w:hAnsi="Arial" w:cs="Arial"/>
                <w:b/>
              </w:rPr>
            </w:pPr>
            <w:r w:rsidRPr="005A7BD7">
              <w:rPr>
                <w:rStyle w:val="Bold"/>
                <w:rFonts w:ascii="Arial" w:hAnsi="Arial" w:cs="Arial"/>
                <w:b/>
              </w:rPr>
              <w:t>Progress</w:t>
            </w:r>
          </w:p>
        </w:tc>
      </w:tr>
      <w:tr w:rsidR="001503FF" w:rsidRPr="00EE59F4" w14:paraId="20FE1289" w14:textId="77777777" w:rsidTr="005A7BD7">
        <w:tc>
          <w:tcPr>
            <w:tcW w:w="4740" w:type="dxa"/>
          </w:tcPr>
          <w:p w14:paraId="03ADED71" w14:textId="01464375" w:rsidR="001503FF" w:rsidRPr="005A7BD7" w:rsidRDefault="00025469" w:rsidP="001503FF">
            <w:pPr>
              <w:rPr>
                <w:rFonts w:cs="Arial"/>
              </w:rPr>
            </w:pPr>
            <w:r w:rsidRPr="005A7BD7">
              <w:rPr>
                <w:rFonts w:cs="Arial"/>
              </w:rPr>
              <w:t xml:space="preserve">4.1 </w:t>
            </w:r>
            <w:r w:rsidR="001503FF" w:rsidRPr="005A7BD7">
              <w:rPr>
                <w:rFonts w:cs="Arial"/>
              </w:rPr>
              <w:t>Number of countries where centrally procured equipment is delivered, installed and supplier training of users completed (</w:t>
            </w:r>
            <w:r w:rsidR="00C442DE">
              <w:rPr>
                <w:rFonts w:cs="Arial"/>
              </w:rPr>
              <w:t>MA</w:t>
            </w:r>
            <w:r w:rsidR="001503FF" w:rsidRPr="005A7BD7">
              <w:rPr>
                <w:rFonts w:cs="Arial"/>
              </w:rPr>
              <w:t>)</w:t>
            </w:r>
          </w:p>
        </w:tc>
        <w:tc>
          <w:tcPr>
            <w:tcW w:w="1350" w:type="dxa"/>
          </w:tcPr>
          <w:p w14:paraId="427AAFEA" w14:textId="59D6DBA4" w:rsidR="001503FF" w:rsidRPr="005A7BD7" w:rsidRDefault="001503FF" w:rsidP="001503FF">
            <w:pPr>
              <w:rPr>
                <w:rFonts w:cs="Arial"/>
              </w:rPr>
            </w:pPr>
            <w:r w:rsidRPr="005A7BD7">
              <w:rPr>
                <w:rFonts w:cs="Arial"/>
              </w:rPr>
              <w:t>16</w:t>
            </w:r>
          </w:p>
        </w:tc>
        <w:tc>
          <w:tcPr>
            <w:tcW w:w="3538" w:type="dxa"/>
          </w:tcPr>
          <w:p w14:paraId="1521BC96" w14:textId="77777777" w:rsidR="001503FF" w:rsidRPr="005A7BD7" w:rsidRDefault="001503FF" w:rsidP="001503FF">
            <w:pPr>
              <w:pStyle w:val="Bullet"/>
              <w:rPr>
                <w:rStyle w:val="Bold"/>
                <w:rFonts w:cs="Arial"/>
              </w:rPr>
            </w:pPr>
            <w:r w:rsidRPr="005A7BD7">
              <w:rPr>
                <w:rStyle w:val="Bold"/>
                <w:rFonts w:cs="Arial"/>
              </w:rPr>
              <w:t>Not achieved/delayed</w:t>
            </w:r>
          </w:p>
          <w:p w14:paraId="6A24CDF5" w14:textId="21FD24CF" w:rsidR="001503FF" w:rsidRPr="005A7BD7" w:rsidRDefault="00FA066F" w:rsidP="001503FF">
            <w:pPr>
              <w:rPr>
                <w:rFonts w:cs="Arial"/>
              </w:rPr>
            </w:pPr>
            <w:r w:rsidRPr="005A7BD7">
              <w:rPr>
                <w:rFonts w:cs="Arial"/>
              </w:rPr>
              <w:t>13</w:t>
            </w:r>
          </w:p>
        </w:tc>
      </w:tr>
      <w:tr w:rsidR="001503FF" w:rsidRPr="00EE59F4" w14:paraId="2D744863" w14:textId="77777777" w:rsidTr="005A7BD7">
        <w:tc>
          <w:tcPr>
            <w:tcW w:w="4740" w:type="dxa"/>
          </w:tcPr>
          <w:p w14:paraId="5A809BB9" w14:textId="0C01D839" w:rsidR="001503FF" w:rsidRPr="005A7BD7" w:rsidRDefault="00025469" w:rsidP="001503FF">
            <w:pPr>
              <w:rPr>
                <w:rFonts w:cs="Arial"/>
              </w:rPr>
            </w:pPr>
            <w:r w:rsidRPr="005A7BD7">
              <w:rPr>
                <w:rFonts w:cs="Arial"/>
              </w:rPr>
              <w:t xml:space="preserve">4.2 </w:t>
            </w:r>
            <w:r w:rsidR="001503FF" w:rsidRPr="005A7BD7">
              <w:rPr>
                <w:rFonts w:cs="Arial"/>
              </w:rPr>
              <w:t>Number of countries where follow-up ATLASS assessments have been undertaken (FAO)</w:t>
            </w:r>
          </w:p>
        </w:tc>
        <w:tc>
          <w:tcPr>
            <w:tcW w:w="1350" w:type="dxa"/>
          </w:tcPr>
          <w:p w14:paraId="12E2DC81" w14:textId="10E63678" w:rsidR="001503FF" w:rsidRPr="005A7BD7" w:rsidRDefault="001503FF" w:rsidP="001503FF">
            <w:pPr>
              <w:rPr>
                <w:rFonts w:cs="Arial"/>
              </w:rPr>
            </w:pPr>
            <w:r w:rsidRPr="005A7BD7">
              <w:rPr>
                <w:rFonts w:cs="Arial"/>
              </w:rPr>
              <w:t>10</w:t>
            </w:r>
          </w:p>
        </w:tc>
        <w:tc>
          <w:tcPr>
            <w:tcW w:w="3538" w:type="dxa"/>
          </w:tcPr>
          <w:p w14:paraId="6AC457DB" w14:textId="77777777" w:rsidR="001503FF" w:rsidRPr="005A7BD7" w:rsidRDefault="001503FF" w:rsidP="001503FF">
            <w:pPr>
              <w:pStyle w:val="Bullet"/>
              <w:rPr>
                <w:rStyle w:val="Bold"/>
                <w:rFonts w:cs="Arial"/>
              </w:rPr>
            </w:pPr>
            <w:r w:rsidRPr="005A7BD7">
              <w:rPr>
                <w:rStyle w:val="Bold"/>
                <w:rFonts w:cs="Arial"/>
              </w:rPr>
              <w:t>Not achieved</w:t>
            </w:r>
          </w:p>
          <w:p w14:paraId="2432019A" w14:textId="2D76C540" w:rsidR="001503FF" w:rsidRPr="005A7BD7" w:rsidRDefault="00745322" w:rsidP="001503FF">
            <w:pPr>
              <w:rPr>
                <w:rFonts w:cs="Arial"/>
              </w:rPr>
            </w:pPr>
            <w:r w:rsidRPr="005A7BD7">
              <w:rPr>
                <w:rFonts w:cs="Arial"/>
              </w:rPr>
              <w:t xml:space="preserve">2 </w:t>
            </w:r>
          </w:p>
        </w:tc>
      </w:tr>
    </w:tbl>
    <w:p w14:paraId="20763D63" w14:textId="731DD102" w:rsidR="00DB1603" w:rsidRDefault="00DB1603" w:rsidP="008A18A9">
      <w:pPr>
        <w:pStyle w:val="Table-bodytext"/>
      </w:pPr>
    </w:p>
    <w:p w14:paraId="3DDDDF91" w14:textId="14C0796D" w:rsidR="00765386" w:rsidRPr="00DB1603" w:rsidRDefault="00765386" w:rsidP="00765386">
      <w:pPr>
        <w:pStyle w:val="ParagraphText-unnumbered"/>
      </w:pPr>
      <w:r>
        <w:t>The FAO's</w:t>
      </w:r>
      <w:r w:rsidR="00107A0D">
        <w:t xml:space="preserve"> </w:t>
      </w:r>
      <w:r w:rsidR="00107A0D" w:rsidRPr="00107A0D">
        <w:t>Assessment Tool for Laboratory and Antimicrobial resistance Surveillance Systems</w:t>
      </w:r>
      <w:r>
        <w:t xml:space="preserve"> </w:t>
      </w:r>
      <w:r w:rsidR="00107A0D">
        <w:t>(</w:t>
      </w:r>
      <w:r>
        <w:t>ATLASS</w:t>
      </w:r>
      <w:r w:rsidR="00107A0D">
        <w:t>)</w:t>
      </w:r>
      <w:r>
        <w:t xml:space="preserve"> was particularly successful, as it has been applied in all 12 focus countries. However, follow-up assessments must be made in person to measure laboratory and national surveillance system improvements. Due to COVID-19, external assessors were </w:t>
      </w:r>
      <w:r w:rsidR="003D5076">
        <w:t xml:space="preserve">only able to travel to </w:t>
      </w:r>
      <w:r w:rsidR="00991C04">
        <w:t xml:space="preserve">2 </w:t>
      </w:r>
      <w:r>
        <w:t xml:space="preserve">countries involved. </w:t>
      </w:r>
    </w:p>
    <w:p w14:paraId="0816CC4B" w14:textId="1C0DB660" w:rsidR="0091745D" w:rsidRPr="009B047D" w:rsidRDefault="004A46CB" w:rsidP="009B047D">
      <w:pPr>
        <w:pStyle w:val="ParagraphText-unnumbered"/>
      </w:pPr>
      <w:r>
        <w:t>Despite the impact of COVID-19 and global supply shortages, Mott MacDonald was able to deliver, install and supply training for centrally procured equipment in 13 of the original</w:t>
      </w:r>
      <w:r w:rsidR="00280128">
        <w:t xml:space="preserve"> target countries. The remaining</w:t>
      </w:r>
      <w:r w:rsidR="00280128" w:rsidDel="00BC2208">
        <w:t xml:space="preserve"> </w:t>
      </w:r>
      <w:r w:rsidR="00BC2208">
        <w:t xml:space="preserve">3 </w:t>
      </w:r>
      <w:r w:rsidR="00280128">
        <w:t>target countries will receive the equipment and training in Q2 2022.</w:t>
      </w:r>
    </w:p>
    <w:p w14:paraId="2A3BA764" w14:textId="77777777" w:rsidR="009A2A91" w:rsidRDefault="009A2A91">
      <w:pPr>
        <w:rPr>
          <w:b/>
          <w:sz w:val="29"/>
        </w:rPr>
      </w:pPr>
      <w:r>
        <w:br w:type="page"/>
      </w:r>
    </w:p>
    <w:p w14:paraId="04B4B76E" w14:textId="32F63428" w:rsidR="00EE59F4" w:rsidRDefault="00EE59F4" w:rsidP="00A22B8C">
      <w:pPr>
        <w:pStyle w:val="Heading3"/>
      </w:pPr>
      <w:r w:rsidRPr="00EE59F4">
        <w:lastRenderedPageBreak/>
        <w:t>3.</w:t>
      </w:r>
      <w:r w:rsidR="00A22B8C">
        <w:t>5 Governance</w:t>
      </w:r>
    </w:p>
    <w:p w14:paraId="2BDAF9BD" w14:textId="1AF46E6E" w:rsidR="001F3871" w:rsidRPr="001F3871" w:rsidRDefault="001F3871" w:rsidP="001F3871">
      <w:pPr>
        <w:pStyle w:val="ParagraphText-unnumbered"/>
        <w:rPr>
          <w:b/>
          <w:bCs/>
        </w:rPr>
      </w:pPr>
      <w:r w:rsidRPr="001F3871">
        <w:rPr>
          <w:b/>
          <w:bCs/>
        </w:rPr>
        <w:t xml:space="preserve">Output number: </w:t>
      </w:r>
      <w:r>
        <w:rPr>
          <w:b/>
          <w:bCs/>
        </w:rPr>
        <w:t>5</w:t>
      </w:r>
    </w:p>
    <w:p w14:paraId="0AAB8E19" w14:textId="2E3D4309" w:rsidR="001F3871" w:rsidRPr="001F3871" w:rsidRDefault="001F3871" w:rsidP="001F3871">
      <w:pPr>
        <w:pStyle w:val="ParagraphText-unnumbered"/>
        <w:rPr>
          <w:b/>
          <w:bCs/>
        </w:rPr>
      </w:pPr>
      <w:r w:rsidRPr="001F3871">
        <w:rPr>
          <w:b/>
          <w:bCs/>
        </w:rPr>
        <w:t>Output score: A</w:t>
      </w:r>
      <w:r>
        <w:rPr>
          <w:b/>
          <w:bCs/>
        </w:rPr>
        <w:t>+</w:t>
      </w:r>
    </w:p>
    <w:p w14:paraId="10CC5129" w14:textId="266B5D08" w:rsidR="001B0458" w:rsidRPr="001F3871" w:rsidRDefault="001F3871" w:rsidP="00D53313">
      <w:pPr>
        <w:pStyle w:val="ParagraphText-unnumbered"/>
        <w:rPr>
          <w:b/>
        </w:rPr>
      </w:pPr>
      <w:r w:rsidRPr="001F3871">
        <w:rPr>
          <w:b/>
          <w:bCs/>
        </w:rPr>
        <w:t>Impact weighting: 5%</w:t>
      </w:r>
    </w:p>
    <w:tbl>
      <w:tblPr>
        <w:tblStyle w:val="DHSCtable"/>
        <w:tblW w:w="9628" w:type="dxa"/>
        <w:tblLook w:val="04A0" w:firstRow="1" w:lastRow="0" w:firstColumn="1" w:lastColumn="0" w:noHBand="0" w:noVBand="1"/>
      </w:tblPr>
      <w:tblGrid>
        <w:gridCol w:w="4785"/>
        <w:gridCol w:w="1410"/>
        <w:gridCol w:w="3433"/>
      </w:tblGrid>
      <w:tr w:rsidR="00EE59F4" w:rsidRPr="00EE59F4" w14:paraId="74C098A7" w14:textId="77777777" w:rsidTr="005A7BD7">
        <w:trPr>
          <w:cnfStyle w:val="100000000000" w:firstRow="1" w:lastRow="0" w:firstColumn="0" w:lastColumn="0" w:oddVBand="0" w:evenVBand="0" w:oddHBand="0" w:evenHBand="0" w:firstRowFirstColumn="0" w:firstRowLastColumn="0" w:lastRowFirstColumn="0" w:lastRowLastColumn="0"/>
        </w:trPr>
        <w:tc>
          <w:tcPr>
            <w:tcW w:w="4785" w:type="dxa"/>
          </w:tcPr>
          <w:p w14:paraId="23ED9BFA" w14:textId="77777777" w:rsidR="00EE59F4" w:rsidRPr="005A7BD7" w:rsidRDefault="00EE59F4" w:rsidP="00EE59F4">
            <w:pPr>
              <w:rPr>
                <w:rStyle w:val="Bold"/>
                <w:rFonts w:ascii="Arial" w:hAnsi="Arial" w:cs="Arial"/>
                <w:b/>
              </w:rPr>
            </w:pPr>
            <w:r w:rsidRPr="005A7BD7">
              <w:rPr>
                <w:rStyle w:val="Bold"/>
                <w:rFonts w:ascii="Arial" w:hAnsi="Arial" w:cs="Arial"/>
                <w:b/>
              </w:rPr>
              <w:t>Indicator(s)</w:t>
            </w:r>
          </w:p>
        </w:tc>
        <w:tc>
          <w:tcPr>
            <w:tcW w:w="1410" w:type="dxa"/>
          </w:tcPr>
          <w:p w14:paraId="6D859551" w14:textId="77777777" w:rsidR="00EE59F4" w:rsidRPr="005A7BD7" w:rsidRDefault="00EE59F4" w:rsidP="00EE59F4">
            <w:pPr>
              <w:rPr>
                <w:rStyle w:val="Bold"/>
                <w:rFonts w:ascii="Arial" w:hAnsi="Arial" w:cs="Arial"/>
                <w:b/>
              </w:rPr>
            </w:pPr>
            <w:r w:rsidRPr="005A7BD7">
              <w:rPr>
                <w:rStyle w:val="Bold"/>
                <w:rFonts w:ascii="Arial" w:hAnsi="Arial" w:cs="Arial"/>
                <w:b/>
              </w:rPr>
              <w:t>Milestone for the review</w:t>
            </w:r>
          </w:p>
        </w:tc>
        <w:tc>
          <w:tcPr>
            <w:tcW w:w="3433" w:type="dxa"/>
          </w:tcPr>
          <w:p w14:paraId="38BE39EA" w14:textId="77777777" w:rsidR="00EE59F4" w:rsidRPr="005A7BD7" w:rsidRDefault="00EE59F4" w:rsidP="00EE59F4">
            <w:pPr>
              <w:rPr>
                <w:rStyle w:val="Bold"/>
                <w:rFonts w:ascii="Arial" w:hAnsi="Arial" w:cs="Arial"/>
                <w:b/>
              </w:rPr>
            </w:pPr>
            <w:r w:rsidRPr="005A7BD7">
              <w:rPr>
                <w:rStyle w:val="Bold"/>
                <w:rFonts w:ascii="Arial" w:hAnsi="Arial" w:cs="Arial"/>
                <w:b/>
              </w:rPr>
              <w:t>Progress</w:t>
            </w:r>
          </w:p>
        </w:tc>
      </w:tr>
      <w:tr w:rsidR="00EE59F4" w:rsidRPr="00EE59F4" w14:paraId="07D0D64A" w14:textId="77777777" w:rsidTr="005A7BD7">
        <w:tc>
          <w:tcPr>
            <w:tcW w:w="4785" w:type="dxa"/>
          </w:tcPr>
          <w:p w14:paraId="1BAD25EC" w14:textId="46BA7733" w:rsidR="00EE59F4" w:rsidRPr="005A7BD7" w:rsidRDefault="00025469" w:rsidP="00EE59F4">
            <w:pPr>
              <w:rPr>
                <w:rFonts w:cs="Arial"/>
              </w:rPr>
            </w:pPr>
            <w:r w:rsidRPr="005A7BD7">
              <w:rPr>
                <w:rFonts w:cs="Arial"/>
              </w:rPr>
              <w:t xml:space="preserve">5.1 </w:t>
            </w:r>
            <w:r w:rsidR="001716F6" w:rsidRPr="005A7BD7">
              <w:rPr>
                <w:rFonts w:cs="Arial"/>
              </w:rPr>
              <w:t>Number of countries piloting the WHO AMR NAP costing and budgeting tool and producing prioritized and costed NAP activities (WHO)</w:t>
            </w:r>
          </w:p>
        </w:tc>
        <w:tc>
          <w:tcPr>
            <w:tcW w:w="1410" w:type="dxa"/>
          </w:tcPr>
          <w:p w14:paraId="5C948DE6" w14:textId="574D5EC0" w:rsidR="00EE59F4" w:rsidRPr="005A7BD7" w:rsidRDefault="001716F6" w:rsidP="00EE59F4">
            <w:pPr>
              <w:rPr>
                <w:rFonts w:cs="Arial"/>
              </w:rPr>
            </w:pPr>
            <w:r w:rsidRPr="005A7BD7">
              <w:rPr>
                <w:rFonts w:cs="Arial"/>
              </w:rPr>
              <w:t>5</w:t>
            </w:r>
          </w:p>
        </w:tc>
        <w:tc>
          <w:tcPr>
            <w:tcW w:w="3433" w:type="dxa"/>
          </w:tcPr>
          <w:p w14:paraId="2A24881E" w14:textId="7F6B509F" w:rsidR="003953C2" w:rsidRPr="005A7BD7" w:rsidRDefault="001716F6" w:rsidP="76CEFF93">
            <w:pPr>
              <w:pStyle w:val="Bullet"/>
              <w:spacing w:line="259" w:lineRule="auto"/>
              <w:rPr>
                <w:rFonts w:cs="Arial"/>
              </w:rPr>
            </w:pPr>
            <w:r w:rsidRPr="005A7BD7">
              <w:rPr>
                <w:rStyle w:val="Bold"/>
                <w:rFonts w:cs="Arial"/>
              </w:rPr>
              <w:t>Achieved</w:t>
            </w:r>
          </w:p>
          <w:p w14:paraId="11C32E38" w14:textId="26A35B59" w:rsidR="003953C2" w:rsidRPr="005A7BD7" w:rsidRDefault="31D21409" w:rsidP="31D21409">
            <w:pPr>
              <w:spacing w:line="259" w:lineRule="auto"/>
              <w:rPr>
                <w:rFonts w:cs="Arial"/>
              </w:rPr>
            </w:pPr>
            <w:r w:rsidRPr="005A7BD7">
              <w:rPr>
                <w:rFonts w:cs="Arial"/>
              </w:rPr>
              <w:t>5</w:t>
            </w:r>
          </w:p>
        </w:tc>
      </w:tr>
      <w:tr w:rsidR="00EE59F4" w:rsidRPr="00EE59F4" w14:paraId="793FF47F" w14:textId="77777777" w:rsidTr="005A7BD7">
        <w:tc>
          <w:tcPr>
            <w:tcW w:w="4785" w:type="dxa"/>
          </w:tcPr>
          <w:p w14:paraId="71B99458" w14:textId="4F0473AF" w:rsidR="00EE59F4" w:rsidRPr="005A7BD7" w:rsidRDefault="00025469" w:rsidP="00EE59F4">
            <w:pPr>
              <w:rPr>
                <w:rFonts w:cs="Arial"/>
              </w:rPr>
            </w:pPr>
            <w:r w:rsidRPr="005A7BD7">
              <w:rPr>
                <w:rFonts w:cs="Arial"/>
              </w:rPr>
              <w:t xml:space="preserve">5.2 </w:t>
            </w:r>
            <w:r w:rsidR="002A3A41" w:rsidRPr="005A7BD7">
              <w:rPr>
                <w:rFonts w:cs="Arial"/>
              </w:rPr>
              <w:t>Number of countries where the national body in charge of the country AMR strategy receives AMR data report(s) generated by human health surveillance sites at least once a year (</w:t>
            </w:r>
            <w:r w:rsidR="00C442DE">
              <w:rPr>
                <w:rFonts w:cs="Arial"/>
              </w:rPr>
              <w:t>MA</w:t>
            </w:r>
            <w:r w:rsidR="002A3A41" w:rsidRPr="005A7BD7">
              <w:rPr>
                <w:rFonts w:cs="Arial"/>
              </w:rPr>
              <w:t>)</w:t>
            </w:r>
          </w:p>
        </w:tc>
        <w:tc>
          <w:tcPr>
            <w:tcW w:w="1410" w:type="dxa"/>
          </w:tcPr>
          <w:p w14:paraId="777CEE66" w14:textId="16B20AF8" w:rsidR="00EE59F4" w:rsidRPr="005A7BD7" w:rsidRDefault="00EE59F4" w:rsidP="00EE59F4">
            <w:pPr>
              <w:rPr>
                <w:rFonts w:cs="Arial"/>
              </w:rPr>
            </w:pPr>
            <w:r w:rsidRPr="005A7BD7">
              <w:rPr>
                <w:rFonts w:cs="Arial"/>
              </w:rPr>
              <w:t>1</w:t>
            </w:r>
            <w:r w:rsidR="002A3A41" w:rsidRPr="005A7BD7">
              <w:rPr>
                <w:rFonts w:cs="Arial"/>
              </w:rPr>
              <w:t>6</w:t>
            </w:r>
          </w:p>
        </w:tc>
        <w:tc>
          <w:tcPr>
            <w:tcW w:w="3433" w:type="dxa"/>
          </w:tcPr>
          <w:p w14:paraId="4635CAD5" w14:textId="77777777" w:rsidR="00EE59F4" w:rsidRPr="005A7BD7" w:rsidRDefault="002A3A41" w:rsidP="00CA40C1">
            <w:pPr>
              <w:pStyle w:val="Bullet"/>
              <w:rPr>
                <w:rFonts w:cs="Arial"/>
              </w:rPr>
            </w:pPr>
            <w:r w:rsidRPr="005A7BD7">
              <w:rPr>
                <w:rStyle w:val="Bold"/>
                <w:rFonts w:cs="Arial"/>
              </w:rPr>
              <w:t>Surpassed</w:t>
            </w:r>
          </w:p>
          <w:p w14:paraId="44E0A5A8" w14:textId="213D2929" w:rsidR="002A3A41" w:rsidRPr="005A7BD7" w:rsidRDefault="00CA7AA2" w:rsidP="00EE59F4">
            <w:pPr>
              <w:rPr>
                <w:rFonts w:cs="Arial"/>
              </w:rPr>
            </w:pPr>
            <w:r w:rsidRPr="005A7BD7">
              <w:rPr>
                <w:rFonts w:cs="Arial"/>
              </w:rPr>
              <w:t xml:space="preserve">18 </w:t>
            </w:r>
          </w:p>
        </w:tc>
      </w:tr>
      <w:tr w:rsidR="00CA7AA2" w:rsidRPr="00EE59F4" w14:paraId="4392BE64" w14:textId="77777777" w:rsidTr="005A7BD7">
        <w:tc>
          <w:tcPr>
            <w:tcW w:w="4785" w:type="dxa"/>
          </w:tcPr>
          <w:p w14:paraId="3626F0DC" w14:textId="657A66B2" w:rsidR="00CA7AA2" w:rsidRPr="005A7BD7" w:rsidRDefault="00025469" w:rsidP="00EE59F4">
            <w:pPr>
              <w:rPr>
                <w:rFonts w:cs="Arial"/>
              </w:rPr>
            </w:pPr>
            <w:r w:rsidRPr="005A7BD7">
              <w:rPr>
                <w:rFonts w:cs="Arial"/>
              </w:rPr>
              <w:t xml:space="preserve">5.3 </w:t>
            </w:r>
            <w:r w:rsidR="00D450D5" w:rsidRPr="005A7BD7">
              <w:rPr>
                <w:rFonts w:cs="Arial"/>
              </w:rPr>
              <w:t>Number of countries where the national body in charge of the country AMR strategy receives AMR data report(s) generated by animal health surveillance sites at least once a year (</w:t>
            </w:r>
            <w:r w:rsidR="00C442DE">
              <w:rPr>
                <w:rFonts w:cs="Arial"/>
              </w:rPr>
              <w:t>MA</w:t>
            </w:r>
            <w:r w:rsidR="00D450D5" w:rsidRPr="005A7BD7">
              <w:rPr>
                <w:rFonts w:cs="Arial"/>
              </w:rPr>
              <w:t>)</w:t>
            </w:r>
          </w:p>
        </w:tc>
        <w:tc>
          <w:tcPr>
            <w:tcW w:w="1410" w:type="dxa"/>
          </w:tcPr>
          <w:p w14:paraId="0EF309B5" w14:textId="21864B53" w:rsidR="00CA7AA2" w:rsidRPr="005A7BD7" w:rsidRDefault="00D450D5" w:rsidP="00EE59F4">
            <w:pPr>
              <w:rPr>
                <w:rFonts w:cs="Arial"/>
              </w:rPr>
            </w:pPr>
            <w:r w:rsidRPr="005A7BD7">
              <w:rPr>
                <w:rFonts w:cs="Arial"/>
              </w:rPr>
              <w:t>10</w:t>
            </w:r>
          </w:p>
        </w:tc>
        <w:tc>
          <w:tcPr>
            <w:tcW w:w="3433" w:type="dxa"/>
          </w:tcPr>
          <w:p w14:paraId="497005EE" w14:textId="77777777" w:rsidR="00CA7AA2" w:rsidRPr="005A7BD7" w:rsidRDefault="00D450D5" w:rsidP="00CA40C1">
            <w:pPr>
              <w:pStyle w:val="Bullet"/>
              <w:rPr>
                <w:rFonts w:cs="Arial"/>
              </w:rPr>
            </w:pPr>
            <w:r w:rsidRPr="005A7BD7">
              <w:rPr>
                <w:rStyle w:val="Bold"/>
                <w:rFonts w:cs="Arial"/>
              </w:rPr>
              <w:t>Surpassed</w:t>
            </w:r>
          </w:p>
          <w:p w14:paraId="1CC819CE" w14:textId="31F2F3DF" w:rsidR="00D450D5" w:rsidRPr="005A7BD7" w:rsidRDefault="00D450D5" w:rsidP="00EE59F4">
            <w:pPr>
              <w:rPr>
                <w:rFonts w:cs="Arial"/>
              </w:rPr>
            </w:pPr>
            <w:r w:rsidRPr="005A7BD7">
              <w:rPr>
                <w:rFonts w:cs="Arial"/>
              </w:rPr>
              <w:t>14</w:t>
            </w:r>
          </w:p>
        </w:tc>
      </w:tr>
    </w:tbl>
    <w:p w14:paraId="27CBB345" w14:textId="5B46FF26" w:rsidR="001239AF" w:rsidRDefault="001239AF" w:rsidP="008A18A9">
      <w:pPr>
        <w:pStyle w:val="Table-bodytext"/>
      </w:pPr>
    </w:p>
    <w:p w14:paraId="6793AF86" w14:textId="301F2D3E" w:rsidR="00025469" w:rsidRDefault="00C45CAF" w:rsidP="00247C48">
      <w:pPr>
        <w:pStyle w:val="ParagraphText-unnumbered"/>
      </w:pPr>
      <w:r>
        <w:t xml:space="preserve">According to the Management Agent, </w:t>
      </w:r>
      <w:r w:rsidR="00025469" w:rsidRPr="00025469">
        <w:t>Bangladesh, Bhutan, Indonesia, Laos, Malawi, Nepal, Nigeria, Pakistan, Timor-Leste, Vietnam, Senegal, Tanzania, Uganda, Zambia, Zimbabwe, Kenya, Myanmar and Sri Lanka</w:t>
      </w:r>
      <w:r w:rsidR="00025469">
        <w:t>'s human health surveillance sites generated AMR data reports at least once a year.</w:t>
      </w:r>
    </w:p>
    <w:p w14:paraId="4A3EAD5D" w14:textId="371774AC" w:rsidR="00D8739B" w:rsidRDefault="00025469" w:rsidP="00D8739B">
      <w:pPr>
        <w:pStyle w:val="ParagraphText-unnumbered"/>
      </w:pPr>
      <w:r w:rsidRPr="00025469">
        <w:t>Bangladesh, Bhutan, Indonesia, Nepal, Pakistan, Vietnam, Laos, Timor-Leste, Zambia, Tanzania, Uganda, Malawi, Nigeria and Kenya</w:t>
      </w:r>
      <w:r>
        <w:t>'s animal health surveillance sites generated AMR data reports at least once a year.</w:t>
      </w:r>
      <w:r w:rsidR="00D8739B" w:rsidRPr="00D8739B">
        <w:t xml:space="preserve"> </w:t>
      </w:r>
    </w:p>
    <w:p w14:paraId="63E89C46" w14:textId="09CFBA53" w:rsidR="0091745D" w:rsidRPr="009B047D" w:rsidRDefault="00D8739B" w:rsidP="009B047D">
      <w:pPr>
        <w:pStyle w:val="ParagraphText-unnumbered"/>
      </w:pPr>
      <w:r>
        <w:t>The NAP costing process has been greatly improved thanks to the WHO's new costing and budgeting tool. This provided realistic implementation plans in pilot countries (Sie</w:t>
      </w:r>
      <w:r w:rsidRPr="00025469">
        <w:t xml:space="preserve">rra Leone, Jamaica, Paraguay, </w:t>
      </w:r>
      <w:r w:rsidR="0066677F" w:rsidRPr="00025469">
        <w:t>Somalia</w:t>
      </w:r>
      <w:r w:rsidRPr="00025469">
        <w:t xml:space="preserve"> and Turkey</w:t>
      </w:r>
      <w:r>
        <w:t xml:space="preserve">) that are easier to enact sustainably. The tool was launched via </w:t>
      </w:r>
      <w:r w:rsidR="00305E40">
        <w:t xml:space="preserve">2 </w:t>
      </w:r>
      <w:r>
        <w:t>global webinars in October 2021.</w:t>
      </w:r>
    </w:p>
    <w:p w14:paraId="61AAC514" w14:textId="77777777" w:rsidR="009A2A91" w:rsidRDefault="009A2A91">
      <w:pPr>
        <w:rPr>
          <w:b/>
          <w:sz w:val="29"/>
        </w:rPr>
      </w:pPr>
      <w:r>
        <w:br w:type="page"/>
      </w:r>
    </w:p>
    <w:p w14:paraId="7AB9AB52" w14:textId="4D917E65" w:rsidR="00A278B3" w:rsidRDefault="00A278B3" w:rsidP="00A278B3">
      <w:pPr>
        <w:pStyle w:val="Heading3"/>
      </w:pPr>
      <w:r w:rsidRPr="00A278B3">
        <w:lastRenderedPageBreak/>
        <w:t>3.</w:t>
      </w:r>
      <w:r>
        <w:t>6 Antimicrobial Consumption (AMC) Data</w:t>
      </w:r>
    </w:p>
    <w:p w14:paraId="0009CB38" w14:textId="72CE2772" w:rsidR="001F3871" w:rsidRPr="001F3871" w:rsidRDefault="001F3871" w:rsidP="001F3871">
      <w:pPr>
        <w:pStyle w:val="ParagraphText-unnumbered"/>
        <w:rPr>
          <w:b/>
          <w:bCs/>
        </w:rPr>
      </w:pPr>
      <w:r w:rsidRPr="001F3871">
        <w:rPr>
          <w:b/>
          <w:bCs/>
        </w:rPr>
        <w:t xml:space="preserve">Output number: </w:t>
      </w:r>
      <w:r>
        <w:rPr>
          <w:b/>
          <w:bCs/>
        </w:rPr>
        <w:t>6</w:t>
      </w:r>
    </w:p>
    <w:p w14:paraId="12C5E68F" w14:textId="69CC3A9F" w:rsidR="001F3871" w:rsidRPr="001F3871" w:rsidRDefault="001F3871" w:rsidP="001F3871">
      <w:pPr>
        <w:pStyle w:val="ParagraphText-unnumbered"/>
        <w:rPr>
          <w:b/>
          <w:bCs/>
        </w:rPr>
      </w:pPr>
      <w:r w:rsidRPr="001F3871">
        <w:rPr>
          <w:b/>
          <w:bCs/>
        </w:rPr>
        <w:t>Output score: A</w:t>
      </w:r>
      <w:r>
        <w:rPr>
          <w:b/>
          <w:bCs/>
        </w:rPr>
        <w:t>+</w:t>
      </w:r>
    </w:p>
    <w:p w14:paraId="428661F1" w14:textId="2BF8500E" w:rsidR="001B0458" w:rsidRPr="001F3871" w:rsidRDefault="001F3871" w:rsidP="00D53313">
      <w:pPr>
        <w:pStyle w:val="ParagraphText-unnumbered"/>
        <w:rPr>
          <w:b/>
        </w:rPr>
      </w:pPr>
      <w:r w:rsidRPr="001F3871">
        <w:rPr>
          <w:b/>
          <w:bCs/>
        </w:rPr>
        <w:t>Impact weighting: 15%</w:t>
      </w:r>
    </w:p>
    <w:tbl>
      <w:tblPr>
        <w:tblStyle w:val="DHSCtable"/>
        <w:tblW w:w="0" w:type="auto"/>
        <w:tblLook w:val="04A0" w:firstRow="1" w:lastRow="0" w:firstColumn="1" w:lastColumn="0" w:noHBand="0" w:noVBand="1"/>
      </w:tblPr>
      <w:tblGrid>
        <w:gridCol w:w="4106"/>
        <w:gridCol w:w="1701"/>
        <w:gridCol w:w="3821"/>
      </w:tblGrid>
      <w:tr w:rsidR="00A278B3" w:rsidRPr="00A278B3" w14:paraId="3A283ABF" w14:textId="77777777" w:rsidTr="005A7BD7">
        <w:trPr>
          <w:cnfStyle w:val="100000000000" w:firstRow="1" w:lastRow="0" w:firstColumn="0" w:lastColumn="0" w:oddVBand="0" w:evenVBand="0" w:oddHBand="0" w:evenHBand="0" w:firstRowFirstColumn="0" w:firstRowLastColumn="0" w:lastRowFirstColumn="0" w:lastRowLastColumn="0"/>
        </w:trPr>
        <w:tc>
          <w:tcPr>
            <w:tcW w:w="4106" w:type="dxa"/>
          </w:tcPr>
          <w:p w14:paraId="3FEE6625" w14:textId="77777777" w:rsidR="00A278B3" w:rsidRPr="005A7BD7" w:rsidRDefault="00A278B3" w:rsidP="00A278B3">
            <w:pPr>
              <w:rPr>
                <w:rStyle w:val="Bold"/>
                <w:rFonts w:ascii="Arial" w:hAnsi="Arial" w:cs="Arial"/>
                <w:b/>
              </w:rPr>
            </w:pPr>
            <w:r w:rsidRPr="005A7BD7">
              <w:rPr>
                <w:rStyle w:val="Bold"/>
                <w:rFonts w:ascii="Arial" w:hAnsi="Arial" w:cs="Arial"/>
                <w:b/>
              </w:rPr>
              <w:t>Indicator(s)</w:t>
            </w:r>
          </w:p>
        </w:tc>
        <w:tc>
          <w:tcPr>
            <w:tcW w:w="1701" w:type="dxa"/>
          </w:tcPr>
          <w:p w14:paraId="37D16EEF" w14:textId="77777777" w:rsidR="00A278B3" w:rsidRPr="005A7BD7" w:rsidRDefault="00A278B3" w:rsidP="00A278B3">
            <w:pPr>
              <w:rPr>
                <w:rStyle w:val="Bold"/>
                <w:rFonts w:ascii="Arial" w:hAnsi="Arial" w:cs="Arial"/>
                <w:b/>
              </w:rPr>
            </w:pPr>
            <w:r w:rsidRPr="005A7BD7">
              <w:rPr>
                <w:rStyle w:val="Bold"/>
                <w:rFonts w:ascii="Arial" w:hAnsi="Arial" w:cs="Arial"/>
                <w:b/>
              </w:rPr>
              <w:t>Milestone for the review</w:t>
            </w:r>
          </w:p>
        </w:tc>
        <w:tc>
          <w:tcPr>
            <w:tcW w:w="3821" w:type="dxa"/>
          </w:tcPr>
          <w:p w14:paraId="7899AA53" w14:textId="77777777" w:rsidR="00A278B3" w:rsidRPr="005A7BD7" w:rsidRDefault="00A278B3" w:rsidP="00A278B3">
            <w:pPr>
              <w:rPr>
                <w:rStyle w:val="Bold"/>
                <w:rFonts w:ascii="Arial" w:hAnsi="Arial" w:cs="Arial"/>
                <w:b/>
              </w:rPr>
            </w:pPr>
            <w:r w:rsidRPr="005A7BD7">
              <w:rPr>
                <w:rStyle w:val="Bold"/>
                <w:rFonts w:ascii="Arial" w:hAnsi="Arial" w:cs="Arial"/>
                <w:b/>
              </w:rPr>
              <w:t>Progress</w:t>
            </w:r>
          </w:p>
        </w:tc>
      </w:tr>
      <w:tr w:rsidR="00A278B3" w:rsidRPr="00A278B3" w14:paraId="516B3756" w14:textId="77777777" w:rsidTr="005A7BD7">
        <w:tc>
          <w:tcPr>
            <w:tcW w:w="4106" w:type="dxa"/>
          </w:tcPr>
          <w:p w14:paraId="34629052" w14:textId="481EA17F" w:rsidR="00A278B3" w:rsidRPr="005A7BD7" w:rsidRDefault="00025469" w:rsidP="00A278B3">
            <w:pPr>
              <w:rPr>
                <w:rFonts w:cs="Arial"/>
              </w:rPr>
            </w:pPr>
            <w:r w:rsidRPr="005A7BD7">
              <w:rPr>
                <w:rFonts w:cs="Arial"/>
              </w:rPr>
              <w:t xml:space="preserve">6.1 </w:t>
            </w:r>
            <w:r w:rsidR="00D61C91" w:rsidRPr="005A7BD7">
              <w:rPr>
                <w:rFonts w:cs="Arial"/>
              </w:rPr>
              <w:t xml:space="preserve">Percentage of </w:t>
            </w:r>
            <w:r w:rsidR="00E12A5F" w:rsidRPr="005A7BD7">
              <w:rPr>
                <w:rFonts w:cs="Arial"/>
              </w:rPr>
              <w:t>WOAH</w:t>
            </w:r>
            <w:r w:rsidR="00D61C91" w:rsidRPr="005A7BD7">
              <w:rPr>
                <w:rFonts w:cs="Arial"/>
              </w:rPr>
              <w:t xml:space="preserve"> members continuing to engage with the </w:t>
            </w:r>
            <w:r w:rsidR="00E12A5F" w:rsidRPr="005A7BD7">
              <w:rPr>
                <w:rFonts w:cs="Arial"/>
              </w:rPr>
              <w:t>WOAH</w:t>
            </w:r>
            <w:r w:rsidR="00D61C91" w:rsidRPr="005A7BD7">
              <w:rPr>
                <w:rFonts w:cs="Arial"/>
              </w:rPr>
              <w:t xml:space="preserve"> AMU global database (</w:t>
            </w:r>
            <w:r w:rsidR="00E12A5F" w:rsidRPr="005A7BD7">
              <w:rPr>
                <w:rFonts w:cs="Arial"/>
              </w:rPr>
              <w:t>WOAH</w:t>
            </w:r>
            <w:r w:rsidR="00D61C91" w:rsidRPr="005A7BD7">
              <w:rPr>
                <w:rFonts w:cs="Arial"/>
              </w:rPr>
              <w:t>)</w:t>
            </w:r>
          </w:p>
        </w:tc>
        <w:tc>
          <w:tcPr>
            <w:tcW w:w="1701" w:type="dxa"/>
          </w:tcPr>
          <w:p w14:paraId="444778F3" w14:textId="67AF7E78" w:rsidR="00A278B3" w:rsidRPr="005A7BD7" w:rsidRDefault="00DD1DD5" w:rsidP="00A278B3">
            <w:pPr>
              <w:rPr>
                <w:rFonts w:cs="Arial"/>
              </w:rPr>
            </w:pPr>
            <w:r w:rsidRPr="005A7BD7">
              <w:rPr>
                <w:rFonts w:cs="Arial"/>
              </w:rPr>
              <w:t>80% per round</w:t>
            </w:r>
          </w:p>
        </w:tc>
        <w:tc>
          <w:tcPr>
            <w:tcW w:w="3821" w:type="dxa"/>
          </w:tcPr>
          <w:p w14:paraId="75CAE642" w14:textId="77777777" w:rsidR="00A278B3" w:rsidRPr="005A7BD7" w:rsidRDefault="00DD1DD5" w:rsidP="00CA40C1">
            <w:pPr>
              <w:pStyle w:val="Bullet"/>
              <w:rPr>
                <w:rFonts w:cs="Arial"/>
              </w:rPr>
            </w:pPr>
            <w:r w:rsidRPr="005A7BD7">
              <w:rPr>
                <w:rStyle w:val="Bold"/>
                <w:rFonts w:cs="Arial"/>
              </w:rPr>
              <w:t>Surpassed</w:t>
            </w:r>
          </w:p>
          <w:p w14:paraId="41C58424" w14:textId="18910F35" w:rsidR="00DD1DD5" w:rsidRPr="005A7BD7" w:rsidRDefault="00DD1DD5" w:rsidP="00A278B3">
            <w:pPr>
              <w:rPr>
                <w:rFonts w:cs="Arial"/>
              </w:rPr>
            </w:pPr>
            <w:r w:rsidRPr="005A7BD7">
              <w:rPr>
                <w:rFonts w:cs="Arial"/>
              </w:rPr>
              <w:t>85%</w:t>
            </w:r>
          </w:p>
        </w:tc>
      </w:tr>
      <w:tr w:rsidR="00A278B3" w:rsidRPr="00A278B3" w14:paraId="4E8EFA0C" w14:textId="77777777" w:rsidTr="005A7BD7">
        <w:tc>
          <w:tcPr>
            <w:tcW w:w="4106" w:type="dxa"/>
          </w:tcPr>
          <w:p w14:paraId="1936CB6A" w14:textId="6C2F9740" w:rsidR="00A278B3" w:rsidRPr="005A7BD7" w:rsidRDefault="00025469" w:rsidP="00A278B3">
            <w:pPr>
              <w:rPr>
                <w:rFonts w:cs="Arial"/>
              </w:rPr>
            </w:pPr>
            <w:r w:rsidRPr="005A7BD7">
              <w:rPr>
                <w:rFonts w:cs="Arial"/>
              </w:rPr>
              <w:t xml:space="preserve">6.2 </w:t>
            </w:r>
            <w:r w:rsidR="00D61C91" w:rsidRPr="005A7BD7">
              <w:rPr>
                <w:rFonts w:cs="Arial"/>
              </w:rPr>
              <w:t>Percentage of members supplying quantitative data to AMU global database under reporting option 3 (</w:t>
            </w:r>
            <w:r w:rsidR="00E12A5F" w:rsidRPr="005A7BD7">
              <w:rPr>
                <w:rFonts w:cs="Arial"/>
              </w:rPr>
              <w:t>WOAH</w:t>
            </w:r>
            <w:r w:rsidR="00D61C91" w:rsidRPr="005A7BD7">
              <w:rPr>
                <w:rFonts w:cs="Arial"/>
              </w:rPr>
              <w:t>)</w:t>
            </w:r>
          </w:p>
        </w:tc>
        <w:tc>
          <w:tcPr>
            <w:tcW w:w="1701" w:type="dxa"/>
          </w:tcPr>
          <w:p w14:paraId="66266DEF" w14:textId="0B92D58B" w:rsidR="00A278B3" w:rsidRPr="005A7BD7" w:rsidRDefault="00B967A2" w:rsidP="00A278B3">
            <w:pPr>
              <w:rPr>
                <w:rFonts w:cs="Arial"/>
              </w:rPr>
            </w:pPr>
            <w:r w:rsidRPr="005A7BD7">
              <w:rPr>
                <w:rFonts w:cs="Arial"/>
              </w:rPr>
              <w:t>50%</w:t>
            </w:r>
            <w:r w:rsidR="00DD1DD5" w:rsidRPr="005A7BD7">
              <w:rPr>
                <w:rFonts w:cs="Arial"/>
              </w:rPr>
              <w:t xml:space="preserve"> per round</w:t>
            </w:r>
          </w:p>
        </w:tc>
        <w:tc>
          <w:tcPr>
            <w:tcW w:w="3821" w:type="dxa"/>
          </w:tcPr>
          <w:p w14:paraId="75E15A40" w14:textId="3236825A" w:rsidR="00A278B3" w:rsidRPr="005A7BD7" w:rsidRDefault="00B967A2" w:rsidP="00CA40C1">
            <w:pPr>
              <w:pStyle w:val="Bullet"/>
              <w:rPr>
                <w:rFonts w:cs="Arial"/>
              </w:rPr>
            </w:pPr>
            <w:r w:rsidRPr="005A7BD7">
              <w:rPr>
                <w:rStyle w:val="Bold"/>
                <w:rFonts w:cs="Arial"/>
              </w:rPr>
              <w:t>Surpassed</w:t>
            </w:r>
          </w:p>
          <w:p w14:paraId="6D4A1831" w14:textId="1B3A1827" w:rsidR="00B967A2" w:rsidRPr="005A7BD7" w:rsidRDefault="00B967A2" w:rsidP="00A278B3">
            <w:pPr>
              <w:rPr>
                <w:rFonts w:cs="Arial"/>
              </w:rPr>
            </w:pPr>
            <w:r w:rsidRPr="005A7BD7">
              <w:rPr>
                <w:rFonts w:cs="Arial"/>
              </w:rPr>
              <w:t>56%</w:t>
            </w:r>
          </w:p>
        </w:tc>
      </w:tr>
      <w:tr w:rsidR="00A278B3" w:rsidRPr="00A278B3" w14:paraId="635E00E6" w14:textId="77777777" w:rsidTr="005A7BD7">
        <w:tc>
          <w:tcPr>
            <w:tcW w:w="4106" w:type="dxa"/>
          </w:tcPr>
          <w:p w14:paraId="5E1B8E13" w14:textId="6EA17843" w:rsidR="00A278B3" w:rsidRPr="005A7BD7" w:rsidRDefault="00025469" w:rsidP="00A278B3">
            <w:pPr>
              <w:rPr>
                <w:rFonts w:cs="Arial"/>
              </w:rPr>
            </w:pPr>
            <w:r w:rsidRPr="005A7BD7">
              <w:rPr>
                <w:rFonts w:cs="Arial"/>
              </w:rPr>
              <w:t xml:space="preserve">6.3 </w:t>
            </w:r>
            <w:r w:rsidR="00D61C91" w:rsidRPr="005A7BD7">
              <w:rPr>
                <w:rFonts w:cs="Arial"/>
              </w:rPr>
              <w:t xml:space="preserve">Number of FF countries piloting the </w:t>
            </w:r>
            <w:r w:rsidR="00E12A5F" w:rsidRPr="005A7BD7">
              <w:rPr>
                <w:rFonts w:cs="Arial"/>
              </w:rPr>
              <w:t>WOAH</w:t>
            </w:r>
            <w:r w:rsidR="00D61C91" w:rsidRPr="005A7BD7">
              <w:rPr>
                <w:rFonts w:cs="Arial"/>
              </w:rPr>
              <w:t xml:space="preserve"> information and alert systems (</w:t>
            </w:r>
            <w:r w:rsidR="00E12A5F" w:rsidRPr="005A7BD7">
              <w:rPr>
                <w:rFonts w:cs="Arial"/>
              </w:rPr>
              <w:t>WOAH</w:t>
            </w:r>
            <w:r w:rsidR="00D61C91" w:rsidRPr="005A7BD7">
              <w:rPr>
                <w:rFonts w:cs="Arial"/>
              </w:rPr>
              <w:t>)</w:t>
            </w:r>
          </w:p>
        </w:tc>
        <w:tc>
          <w:tcPr>
            <w:tcW w:w="1701" w:type="dxa"/>
          </w:tcPr>
          <w:p w14:paraId="6226686F" w14:textId="7BA3C7B9" w:rsidR="00A278B3" w:rsidRPr="005A7BD7" w:rsidRDefault="00915605" w:rsidP="00A278B3">
            <w:pPr>
              <w:rPr>
                <w:rFonts w:cs="Arial"/>
              </w:rPr>
            </w:pPr>
            <w:r w:rsidRPr="005A7BD7">
              <w:rPr>
                <w:rFonts w:cs="Arial"/>
              </w:rPr>
              <w:t>5</w:t>
            </w:r>
          </w:p>
        </w:tc>
        <w:tc>
          <w:tcPr>
            <w:tcW w:w="3821" w:type="dxa"/>
          </w:tcPr>
          <w:p w14:paraId="76815BFD" w14:textId="75A47AD3" w:rsidR="00A278B3" w:rsidRPr="005A7BD7" w:rsidRDefault="00915605" w:rsidP="00CA40C1">
            <w:pPr>
              <w:pStyle w:val="Bullet"/>
              <w:rPr>
                <w:rFonts w:cs="Arial"/>
              </w:rPr>
            </w:pPr>
            <w:r w:rsidRPr="005A7BD7">
              <w:rPr>
                <w:rStyle w:val="Bold"/>
                <w:rFonts w:cs="Arial"/>
              </w:rPr>
              <w:t>Achieved</w:t>
            </w:r>
          </w:p>
          <w:p w14:paraId="79739D14" w14:textId="0F18A0FE" w:rsidR="00D90A74" w:rsidRPr="005A7BD7" w:rsidRDefault="00915605" w:rsidP="00A278B3">
            <w:pPr>
              <w:rPr>
                <w:rFonts w:cs="Arial"/>
              </w:rPr>
            </w:pPr>
            <w:r w:rsidRPr="005A7BD7">
              <w:rPr>
                <w:rFonts w:cs="Arial"/>
              </w:rPr>
              <w:t>5</w:t>
            </w:r>
          </w:p>
        </w:tc>
      </w:tr>
      <w:tr w:rsidR="00D61C91" w:rsidRPr="00A278B3" w14:paraId="326DAB37" w14:textId="77777777" w:rsidTr="005A7BD7">
        <w:tc>
          <w:tcPr>
            <w:tcW w:w="4106" w:type="dxa"/>
          </w:tcPr>
          <w:p w14:paraId="1B1A65B1" w14:textId="1CCDEEBA" w:rsidR="00D61C91" w:rsidRPr="005A7BD7" w:rsidRDefault="00025469" w:rsidP="00A278B3">
            <w:pPr>
              <w:rPr>
                <w:rFonts w:cs="Arial"/>
              </w:rPr>
            </w:pPr>
            <w:r w:rsidRPr="005A7BD7">
              <w:rPr>
                <w:rFonts w:cs="Arial"/>
              </w:rPr>
              <w:t xml:space="preserve">6.4 </w:t>
            </w:r>
            <w:r w:rsidR="00F12D8F" w:rsidRPr="005A7BD7">
              <w:rPr>
                <w:rFonts w:cs="Arial"/>
              </w:rPr>
              <w:t>Number of countries in FF regions enrolled in the GLASS-AMC module and submitting consumption data (WHO)</w:t>
            </w:r>
          </w:p>
        </w:tc>
        <w:tc>
          <w:tcPr>
            <w:tcW w:w="1701" w:type="dxa"/>
          </w:tcPr>
          <w:p w14:paraId="5EBBEA07" w14:textId="7192E7FE" w:rsidR="00D61C91" w:rsidRPr="005A7BD7" w:rsidRDefault="00F12D8F" w:rsidP="00A278B3">
            <w:pPr>
              <w:rPr>
                <w:rFonts w:cs="Arial"/>
              </w:rPr>
            </w:pPr>
            <w:r w:rsidRPr="005A7BD7">
              <w:rPr>
                <w:rFonts w:cs="Arial"/>
              </w:rPr>
              <w:t>12</w:t>
            </w:r>
          </w:p>
        </w:tc>
        <w:tc>
          <w:tcPr>
            <w:tcW w:w="3821" w:type="dxa"/>
          </w:tcPr>
          <w:p w14:paraId="0A46F468" w14:textId="77777777" w:rsidR="00D61C91" w:rsidRPr="005A7BD7" w:rsidRDefault="00F12D8F" w:rsidP="00CA40C1">
            <w:pPr>
              <w:pStyle w:val="Bullet"/>
              <w:rPr>
                <w:rFonts w:cs="Arial"/>
              </w:rPr>
            </w:pPr>
            <w:r w:rsidRPr="005A7BD7">
              <w:rPr>
                <w:rStyle w:val="Bold"/>
                <w:rFonts w:cs="Arial"/>
              </w:rPr>
              <w:t>Surpassed</w:t>
            </w:r>
          </w:p>
          <w:p w14:paraId="3D573807" w14:textId="77777777" w:rsidR="00DD28ED" w:rsidRPr="005A7BD7" w:rsidRDefault="00DD28ED" w:rsidP="00A278B3">
            <w:pPr>
              <w:rPr>
                <w:rFonts w:cs="Arial"/>
              </w:rPr>
            </w:pPr>
            <w:r w:rsidRPr="005A7BD7">
              <w:rPr>
                <w:rFonts w:cs="Arial"/>
              </w:rPr>
              <w:t xml:space="preserve">23 countries enrolled </w:t>
            </w:r>
          </w:p>
          <w:p w14:paraId="6A0DE741" w14:textId="4DD93131" w:rsidR="00DD28ED" w:rsidRPr="005A7BD7" w:rsidRDefault="00F12D8F" w:rsidP="00A278B3">
            <w:pPr>
              <w:rPr>
                <w:rFonts w:cs="Arial"/>
              </w:rPr>
            </w:pPr>
            <w:r w:rsidRPr="005A7BD7">
              <w:rPr>
                <w:rFonts w:cs="Arial"/>
              </w:rPr>
              <w:t xml:space="preserve">14 </w:t>
            </w:r>
            <w:r w:rsidR="00DD28ED" w:rsidRPr="005A7BD7">
              <w:rPr>
                <w:rFonts w:cs="Arial"/>
              </w:rPr>
              <w:t>countries submitting data</w:t>
            </w:r>
          </w:p>
        </w:tc>
      </w:tr>
    </w:tbl>
    <w:p w14:paraId="566E0D5F" w14:textId="7EF1914E" w:rsidR="00A278B3" w:rsidRDefault="00A278B3" w:rsidP="008A18A9">
      <w:pPr>
        <w:pStyle w:val="Table-bodytext"/>
      </w:pPr>
    </w:p>
    <w:p w14:paraId="1460681B" w14:textId="59E4D392" w:rsidR="002E0BB3" w:rsidRDefault="25A31633" w:rsidP="002E0BB3">
      <w:pPr>
        <w:pStyle w:val="ParagraphText-unnumbered"/>
      </w:pPr>
      <w:r>
        <w:t xml:space="preserve">In </w:t>
      </w:r>
      <w:r w:rsidR="213520CB">
        <w:t>2021</w:t>
      </w:r>
      <w:r>
        <w:t>, the Fleming Fund</w:t>
      </w:r>
      <w:r w:rsidR="0E85309C">
        <w:t xml:space="preserve"> successfully</w:t>
      </w:r>
      <w:r>
        <w:t xml:space="preserve"> held </w:t>
      </w:r>
      <w:r w:rsidR="213520CB">
        <w:t>first integrated data call for AMR and AM</w:t>
      </w:r>
      <w:r w:rsidR="0E85309C">
        <w:t>C.</w:t>
      </w:r>
      <w:r w:rsidR="7C63E96B">
        <w:t xml:space="preserve"> </w:t>
      </w:r>
      <w:r w:rsidR="178CA8B6">
        <w:t xml:space="preserve">This saw the enrolment of a large number of countries from </w:t>
      </w:r>
      <w:r w:rsidR="00052C3D">
        <w:t>Africa, South East Asia</w:t>
      </w:r>
      <w:r w:rsidR="009F4C66">
        <w:t>,</w:t>
      </w:r>
      <w:r w:rsidR="00052C3D">
        <w:t xml:space="preserve"> and the Western Pacific</w:t>
      </w:r>
      <w:r w:rsidR="35E5E4CD">
        <w:t xml:space="preserve">. The WHO has </w:t>
      </w:r>
      <w:r w:rsidR="57C2CD0C">
        <w:t xml:space="preserve">worked to integrate data from countries in the </w:t>
      </w:r>
      <w:r w:rsidR="00305E40" w:rsidRPr="00305E40">
        <w:t>Western Pacific Regional Antimicrobial Consumption Surveillance System</w:t>
      </w:r>
      <w:r w:rsidR="00305E40">
        <w:t xml:space="preserve"> (WPRSCSS) </w:t>
      </w:r>
      <w:r w:rsidR="57C2CD0C">
        <w:t xml:space="preserve">regional initiative in the </w:t>
      </w:r>
      <w:r w:rsidR="004C214F" w:rsidRPr="004C214F">
        <w:t xml:space="preserve">Global Antimicrobial Resistance and Use Surveillance System </w:t>
      </w:r>
      <w:r w:rsidR="57C2CD0C">
        <w:t xml:space="preserve">(GLASS) to </w:t>
      </w:r>
      <w:r w:rsidR="0E70AA26">
        <w:t>help share information as widely as possible.</w:t>
      </w:r>
    </w:p>
    <w:p w14:paraId="7B52B3D6" w14:textId="7540C3C1" w:rsidR="0091745D" w:rsidRPr="009B047D" w:rsidRDefault="00025469" w:rsidP="009B047D">
      <w:pPr>
        <w:pStyle w:val="ParagraphText-unnumbered"/>
      </w:pPr>
      <w:r w:rsidRPr="00025469">
        <w:t>Nepal, Eswatini, Malawi, Senegal</w:t>
      </w:r>
      <w:r>
        <w:t xml:space="preserve"> and </w:t>
      </w:r>
      <w:r w:rsidRPr="00025469">
        <w:t>Zimbabwe</w:t>
      </w:r>
      <w:r>
        <w:t xml:space="preserve"> are currently piloting the </w:t>
      </w:r>
      <w:r w:rsidR="00E12A5F">
        <w:t>WOAH</w:t>
      </w:r>
      <w:r>
        <w:t xml:space="preserve"> information and alert systems.</w:t>
      </w:r>
    </w:p>
    <w:p w14:paraId="22327D2F" w14:textId="6DC00A29" w:rsidR="004F2EBF" w:rsidRDefault="004F2EBF" w:rsidP="004F2EBF">
      <w:pPr>
        <w:pStyle w:val="Heading3"/>
      </w:pPr>
      <w:r w:rsidRPr="004F2EBF">
        <w:t>3.</w:t>
      </w:r>
      <w:r>
        <w:t>7</w:t>
      </w:r>
      <w:r w:rsidRPr="004F2EBF">
        <w:t xml:space="preserve"> </w:t>
      </w:r>
      <w:r>
        <w:t>Substandard and Falsified (SF) Medicines data</w:t>
      </w:r>
    </w:p>
    <w:p w14:paraId="21022769" w14:textId="210EC0E2" w:rsidR="001F3871" w:rsidRPr="001F3871" w:rsidRDefault="001F3871" w:rsidP="001F3871">
      <w:pPr>
        <w:pStyle w:val="ParagraphText-unnumbered"/>
        <w:rPr>
          <w:b/>
          <w:bCs/>
        </w:rPr>
      </w:pPr>
      <w:r w:rsidRPr="001F3871">
        <w:rPr>
          <w:b/>
          <w:bCs/>
        </w:rPr>
        <w:t xml:space="preserve">Output number: </w:t>
      </w:r>
      <w:r>
        <w:rPr>
          <w:b/>
          <w:bCs/>
        </w:rPr>
        <w:t>7</w:t>
      </w:r>
    </w:p>
    <w:p w14:paraId="6AAEA9D5" w14:textId="77777777" w:rsidR="001F3871" w:rsidRPr="001F3871" w:rsidRDefault="001F3871" w:rsidP="001F3871">
      <w:pPr>
        <w:pStyle w:val="ParagraphText-unnumbered"/>
        <w:rPr>
          <w:b/>
          <w:bCs/>
        </w:rPr>
      </w:pPr>
      <w:r w:rsidRPr="001F3871">
        <w:rPr>
          <w:b/>
          <w:bCs/>
        </w:rPr>
        <w:t>Output score: A</w:t>
      </w:r>
    </w:p>
    <w:p w14:paraId="03C2B065" w14:textId="4CAC95C0" w:rsidR="00164442" w:rsidRPr="00D23019" w:rsidRDefault="001F3871" w:rsidP="00164442">
      <w:pPr>
        <w:pStyle w:val="ParagraphText-unnumbered"/>
        <w:rPr>
          <w:b/>
        </w:rPr>
      </w:pPr>
      <w:r w:rsidRPr="001F3871">
        <w:rPr>
          <w:b/>
          <w:bCs/>
        </w:rPr>
        <w:t>Impact weighting: 5%</w:t>
      </w:r>
    </w:p>
    <w:tbl>
      <w:tblPr>
        <w:tblStyle w:val="DHSCtable"/>
        <w:tblW w:w="0" w:type="auto"/>
        <w:tblLook w:val="04A0" w:firstRow="1" w:lastRow="0" w:firstColumn="1" w:lastColumn="0" w:noHBand="0" w:noVBand="1"/>
      </w:tblPr>
      <w:tblGrid>
        <w:gridCol w:w="4106"/>
        <w:gridCol w:w="1701"/>
        <w:gridCol w:w="3821"/>
      </w:tblGrid>
      <w:tr w:rsidR="004F2EBF" w:rsidRPr="004F2EBF" w14:paraId="265D4DDF" w14:textId="77777777" w:rsidTr="005A7BD7">
        <w:trPr>
          <w:cnfStyle w:val="100000000000" w:firstRow="1" w:lastRow="0" w:firstColumn="0" w:lastColumn="0" w:oddVBand="0" w:evenVBand="0" w:oddHBand="0" w:evenHBand="0" w:firstRowFirstColumn="0" w:firstRowLastColumn="0" w:lastRowFirstColumn="0" w:lastRowLastColumn="0"/>
        </w:trPr>
        <w:tc>
          <w:tcPr>
            <w:tcW w:w="4106" w:type="dxa"/>
          </w:tcPr>
          <w:p w14:paraId="05F93AF6" w14:textId="77777777" w:rsidR="004F2EBF" w:rsidRPr="005A7BD7" w:rsidRDefault="004F2EBF" w:rsidP="004F2EBF">
            <w:pPr>
              <w:rPr>
                <w:rStyle w:val="Bold"/>
                <w:rFonts w:ascii="Arial" w:hAnsi="Arial" w:cs="Arial"/>
                <w:b/>
              </w:rPr>
            </w:pPr>
            <w:r w:rsidRPr="005A7BD7">
              <w:rPr>
                <w:rStyle w:val="Bold"/>
                <w:rFonts w:ascii="Arial" w:hAnsi="Arial" w:cs="Arial"/>
                <w:b/>
              </w:rPr>
              <w:lastRenderedPageBreak/>
              <w:t>Indicator(s)</w:t>
            </w:r>
          </w:p>
        </w:tc>
        <w:tc>
          <w:tcPr>
            <w:tcW w:w="1701" w:type="dxa"/>
          </w:tcPr>
          <w:p w14:paraId="45579C66" w14:textId="77777777" w:rsidR="004F2EBF" w:rsidRPr="005A7BD7" w:rsidRDefault="004F2EBF" w:rsidP="004F2EBF">
            <w:pPr>
              <w:rPr>
                <w:rStyle w:val="Bold"/>
                <w:rFonts w:ascii="Arial" w:hAnsi="Arial" w:cs="Arial"/>
                <w:b/>
              </w:rPr>
            </w:pPr>
            <w:r w:rsidRPr="005A7BD7">
              <w:rPr>
                <w:rStyle w:val="Bold"/>
                <w:rFonts w:ascii="Arial" w:hAnsi="Arial" w:cs="Arial"/>
                <w:b/>
              </w:rPr>
              <w:t>Milestone for the review</w:t>
            </w:r>
          </w:p>
        </w:tc>
        <w:tc>
          <w:tcPr>
            <w:tcW w:w="3821" w:type="dxa"/>
          </w:tcPr>
          <w:p w14:paraId="4D17D543" w14:textId="77777777" w:rsidR="004F2EBF" w:rsidRPr="005A7BD7" w:rsidRDefault="004F2EBF" w:rsidP="004F2EBF">
            <w:pPr>
              <w:rPr>
                <w:rStyle w:val="Bold"/>
                <w:rFonts w:ascii="Arial" w:hAnsi="Arial" w:cs="Arial"/>
                <w:b/>
              </w:rPr>
            </w:pPr>
            <w:r w:rsidRPr="005A7BD7">
              <w:rPr>
                <w:rStyle w:val="Bold"/>
                <w:rFonts w:ascii="Arial" w:hAnsi="Arial" w:cs="Arial"/>
                <w:b/>
              </w:rPr>
              <w:t>Progress</w:t>
            </w:r>
          </w:p>
        </w:tc>
      </w:tr>
      <w:tr w:rsidR="004F2EBF" w:rsidRPr="004F2EBF" w14:paraId="621D19BC" w14:textId="77777777" w:rsidTr="005A7BD7">
        <w:tc>
          <w:tcPr>
            <w:tcW w:w="4106" w:type="dxa"/>
          </w:tcPr>
          <w:p w14:paraId="64813861" w14:textId="0EE1F22F" w:rsidR="004F2EBF" w:rsidRPr="005A7BD7" w:rsidRDefault="00025469" w:rsidP="004F2EBF">
            <w:pPr>
              <w:rPr>
                <w:rFonts w:cs="Arial"/>
              </w:rPr>
            </w:pPr>
            <w:r w:rsidRPr="005A7BD7">
              <w:rPr>
                <w:rFonts w:cs="Arial"/>
              </w:rPr>
              <w:t xml:space="preserve">7.1 </w:t>
            </w:r>
            <w:r w:rsidR="00EB58A2" w:rsidRPr="005A7BD7">
              <w:rPr>
                <w:rFonts w:cs="Arial"/>
              </w:rPr>
              <w:t>Number of countries using tailored IT model to conduct market surveys (WHOSF)</w:t>
            </w:r>
          </w:p>
        </w:tc>
        <w:tc>
          <w:tcPr>
            <w:tcW w:w="1701" w:type="dxa"/>
          </w:tcPr>
          <w:p w14:paraId="4C5CCF4F" w14:textId="4A183E47" w:rsidR="004F2EBF" w:rsidRPr="005A7BD7" w:rsidRDefault="00EB58A2" w:rsidP="004F2EBF">
            <w:pPr>
              <w:rPr>
                <w:rFonts w:cs="Arial"/>
              </w:rPr>
            </w:pPr>
            <w:r w:rsidRPr="005A7BD7">
              <w:rPr>
                <w:rFonts w:cs="Arial"/>
              </w:rPr>
              <w:t>2</w:t>
            </w:r>
          </w:p>
        </w:tc>
        <w:tc>
          <w:tcPr>
            <w:tcW w:w="3821" w:type="dxa"/>
          </w:tcPr>
          <w:p w14:paraId="1F89DD06" w14:textId="35F4646B" w:rsidR="004F2EBF" w:rsidRPr="005A7BD7" w:rsidRDefault="001C2672" w:rsidP="00544622">
            <w:pPr>
              <w:pStyle w:val="Bullet"/>
              <w:rPr>
                <w:rFonts w:cs="Arial"/>
              </w:rPr>
            </w:pPr>
            <w:r w:rsidRPr="005A7BD7">
              <w:rPr>
                <w:rStyle w:val="Bold"/>
                <w:rFonts w:cs="Arial"/>
              </w:rPr>
              <w:t>Delayed</w:t>
            </w:r>
          </w:p>
          <w:p w14:paraId="213F9FF4" w14:textId="77777777" w:rsidR="004F2EBF" w:rsidRPr="005A7BD7" w:rsidRDefault="00EB58A2" w:rsidP="004F2EBF">
            <w:pPr>
              <w:rPr>
                <w:rFonts w:cs="Arial"/>
              </w:rPr>
            </w:pPr>
            <w:r w:rsidRPr="005A7BD7">
              <w:rPr>
                <w:rFonts w:cs="Arial"/>
              </w:rPr>
              <w:t>1</w:t>
            </w:r>
          </w:p>
          <w:p w14:paraId="06F0E20F" w14:textId="3F4E28C1" w:rsidR="001C2672" w:rsidRPr="005A7BD7" w:rsidRDefault="001C2672" w:rsidP="004F2EBF">
            <w:pPr>
              <w:rPr>
                <w:rFonts w:cs="Arial"/>
              </w:rPr>
            </w:pPr>
            <w:r w:rsidRPr="005A7BD7">
              <w:rPr>
                <w:rFonts w:cs="Arial"/>
              </w:rPr>
              <w:t xml:space="preserve">2 more to use tailored IT models </w:t>
            </w:r>
            <w:r w:rsidR="00E54CDB" w:rsidRPr="005A7BD7">
              <w:rPr>
                <w:rFonts w:cs="Arial"/>
              </w:rPr>
              <w:t xml:space="preserve">in </w:t>
            </w:r>
            <w:r w:rsidRPr="005A7BD7">
              <w:rPr>
                <w:rFonts w:cs="Arial"/>
              </w:rPr>
              <w:t>2022</w:t>
            </w:r>
            <w:r w:rsidR="004E774D" w:rsidRPr="005A7BD7">
              <w:rPr>
                <w:rFonts w:cs="Arial"/>
              </w:rPr>
              <w:t>, bringing number to 3</w:t>
            </w:r>
          </w:p>
        </w:tc>
      </w:tr>
      <w:tr w:rsidR="004F2EBF" w:rsidRPr="004F2EBF" w14:paraId="5A23A96A" w14:textId="77777777" w:rsidTr="005A7BD7">
        <w:tc>
          <w:tcPr>
            <w:tcW w:w="4106" w:type="dxa"/>
          </w:tcPr>
          <w:p w14:paraId="11713BA8" w14:textId="42C7D548" w:rsidR="004F2EBF" w:rsidRPr="005A7BD7" w:rsidRDefault="00025469" w:rsidP="004F2EBF">
            <w:pPr>
              <w:rPr>
                <w:rFonts w:cs="Arial"/>
              </w:rPr>
            </w:pPr>
            <w:r w:rsidRPr="005A7BD7">
              <w:rPr>
                <w:rFonts w:cs="Arial"/>
              </w:rPr>
              <w:t xml:space="preserve">7.2 </w:t>
            </w:r>
            <w:r w:rsidR="00EB58A2" w:rsidRPr="005A7BD7">
              <w:rPr>
                <w:rFonts w:cs="Arial"/>
              </w:rPr>
              <w:t>Number of countries reporting SF antimicrobials to the WHO GSMS (WHOSF)</w:t>
            </w:r>
          </w:p>
        </w:tc>
        <w:tc>
          <w:tcPr>
            <w:tcW w:w="1701" w:type="dxa"/>
          </w:tcPr>
          <w:p w14:paraId="400A6742" w14:textId="24BD0E29" w:rsidR="004F2EBF" w:rsidRPr="005A7BD7" w:rsidRDefault="00EB58A2" w:rsidP="004F2EBF">
            <w:pPr>
              <w:rPr>
                <w:rFonts w:cs="Arial"/>
              </w:rPr>
            </w:pPr>
            <w:r w:rsidRPr="005A7BD7">
              <w:rPr>
                <w:rFonts w:cs="Arial"/>
              </w:rPr>
              <w:t>25</w:t>
            </w:r>
          </w:p>
        </w:tc>
        <w:tc>
          <w:tcPr>
            <w:tcW w:w="3821" w:type="dxa"/>
          </w:tcPr>
          <w:p w14:paraId="6A2836E6" w14:textId="77777777" w:rsidR="004F2EBF" w:rsidRPr="005A7BD7" w:rsidRDefault="004F2EBF" w:rsidP="00544622">
            <w:pPr>
              <w:pStyle w:val="Bullet"/>
              <w:rPr>
                <w:rFonts w:cs="Arial"/>
              </w:rPr>
            </w:pPr>
            <w:r w:rsidRPr="005A7BD7">
              <w:rPr>
                <w:rStyle w:val="Bold"/>
                <w:rFonts w:cs="Arial"/>
              </w:rPr>
              <w:t>Surpassed</w:t>
            </w:r>
          </w:p>
          <w:p w14:paraId="23CF1349" w14:textId="202130B5" w:rsidR="004F2EBF" w:rsidRPr="005A7BD7" w:rsidRDefault="00EB58A2" w:rsidP="004F2EBF">
            <w:pPr>
              <w:rPr>
                <w:rFonts w:cs="Arial"/>
              </w:rPr>
            </w:pPr>
            <w:r w:rsidRPr="005A7BD7">
              <w:rPr>
                <w:rFonts w:cs="Arial"/>
              </w:rPr>
              <w:t>80</w:t>
            </w:r>
          </w:p>
        </w:tc>
      </w:tr>
    </w:tbl>
    <w:p w14:paraId="504725AC" w14:textId="2D2B6677" w:rsidR="002E10EF" w:rsidRDefault="002E10EF" w:rsidP="00EF505B"/>
    <w:p w14:paraId="5C9AD013" w14:textId="7E3B0280" w:rsidR="00377667" w:rsidRDefault="00727167" w:rsidP="00377667">
      <w:pPr>
        <w:pStyle w:val="ParagraphText-unnumbered"/>
      </w:pPr>
      <w:r>
        <w:t xml:space="preserve">The WHOSF have </w:t>
      </w:r>
      <w:r w:rsidR="00C07E91">
        <w:t xml:space="preserve">upgraded their </w:t>
      </w:r>
      <w:r w:rsidR="003470FF" w:rsidRPr="003470FF">
        <w:t>Global Surveillance and Monitoring System</w:t>
      </w:r>
      <w:r w:rsidR="00C07E91">
        <w:t xml:space="preserve"> </w:t>
      </w:r>
      <w:r w:rsidR="003470FF">
        <w:t>(</w:t>
      </w:r>
      <w:r w:rsidR="00C07E91">
        <w:t>GSMS</w:t>
      </w:r>
      <w:r w:rsidR="003470FF">
        <w:t>)</w:t>
      </w:r>
      <w:r w:rsidR="00C07E91">
        <w:t xml:space="preserve"> system to</w:t>
      </w:r>
      <w:r w:rsidR="007F4634">
        <w:t xml:space="preserve"> include more languages and make the system interface</w:t>
      </w:r>
      <w:r w:rsidR="007924D0">
        <w:t xml:space="preserve"> more user</w:t>
      </w:r>
      <w:r w:rsidR="00521433">
        <w:t>-friendly</w:t>
      </w:r>
      <w:r w:rsidR="007F4634">
        <w:t xml:space="preserve">. This </w:t>
      </w:r>
      <w:r w:rsidR="00EF5A22">
        <w:t xml:space="preserve">successfully resulted in </w:t>
      </w:r>
      <w:r w:rsidR="7E6701EF">
        <w:t xml:space="preserve">more than </w:t>
      </w:r>
      <w:r w:rsidR="00305E40">
        <w:t xml:space="preserve">3 </w:t>
      </w:r>
      <w:r w:rsidR="7E6701EF">
        <w:t>times</w:t>
      </w:r>
      <w:r w:rsidR="00EF5A22">
        <w:t xml:space="preserve"> the </w:t>
      </w:r>
      <w:r w:rsidR="7E6701EF">
        <w:t xml:space="preserve">target </w:t>
      </w:r>
      <w:r w:rsidR="00EF5A22">
        <w:t>number of countries reporting SF antimicrobials.</w:t>
      </w:r>
      <w:r w:rsidR="00E54CDB">
        <w:t xml:space="preserve"> Due to COVID-19 travel restrictions preventing on-site training, the use of IT models to conduct market surveys has been delayed to 2022.</w:t>
      </w:r>
    </w:p>
    <w:p w14:paraId="38DAB207" w14:textId="2A2D5F42" w:rsidR="00EF505B" w:rsidRDefault="00EF505B" w:rsidP="00EF505B">
      <w:pPr>
        <w:pStyle w:val="Heading3"/>
      </w:pPr>
      <w:r w:rsidRPr="00EF505B">
        <w:t>3.</w:t>
      </w:r>
      <w:r>
        <w:t>8 AMR data</w:t>
      </w:r>
    </w:p>
    <w:p w14:paraId="7CE90335" w14:textId="2A9AF60C" w:rsidR="00D23019" w:rsidRPr="00D23019" w:rsidRDefault="00D23019" w:rsidP="00D23019">
      <w:pPr>
        <w:pStyle w:val="ParagraphText-unnumbered"/>
        <w:rPr>
          <w:b/>
          <w:bCs/>
        </w:rPr>
      </w:pPr>
      <w:r w:rsidRPr="00D23019">
        <w:rPr>
          <w:b/>
          <w:bCs/>
        </w:rPr>
        <w:t xml:space="preserve">Output number: </w:t>
      </w:r>
      <w:r>
        <w:rPr>
          <w:b/>
          <w:bCs/>
        </w:rPr>
        <w:t>8</w:t>
      </w:r>
    </w:p>
    <w:p w14:paraId="122CFC2C" w14:textId="15DE0507" w:rsidR="00D23019" w:rsidRPr="00D23019" w:rsidRDefault="00D23019" w:rsidP="00D23019">
      <w:pPr>
        <w:pStyle w:val="ParagraphText-unnumbered"/>
        <w:rPr>
          <w:b/>
          <w:bCs/>
        </w:rPr>
      </w:pPr>
      <w:r w:rsidRPr="00D23019">
        <w:rPr>
          <w:b/>
          <w:bCs/>
        </w:rPr>
        <w:t>Output score: A</w:t>
      </w:r>
      <w:r>
        <w:rPr>
          <w:b/>
          <w:bCs/>
        </w:rPr>
        <w:t>+</w:t>
      </w:r>
    </w:p>
    <w:p w14:paraId="48D7840C" w14:textId="1A8C164B" w:rsidR="00A5147B" w:rsidRPr="00D23019" w:rsidRDefault="00D23019" w:rsidP="00164442">
      <w:pPr>
        <w:pStyle w:val="ParagraphText-unnumbered"/>
        <w:rPr>
          <w:b/>
        </w:rPr>
      </w:pPr>
      <w:r w:rsidRPr="00D23019">
        <w:rPr>
          <w:b/>
          <w:bCs/>
        </w:rPr>
        <w:t>Impact weighting: 15%</w:t>
      </w:r>
    </w:p>
    <w:tbl>
      <w:tblPr>
        <w:tblStyle w:val="DHSCtable"/>
        <w:tblW w:w="0" w:type="auto"/>
        <w:tblLook w:val="04A0" w:firstRow="1" w:lastRow="0" w:firstColumn="1" w:lastColumn="0" w:noHBand="0" w:noVBand="1"/>
      </w:tblPr>
      <w:tblGrid>
        <w:gridCol w:w="4106"/>
        <w:gridCol w:w="1701"/>
        <w:gridCol w:w="3821"/>
      </w:tblGrid>
      <w:tr w:rsidR="007331D0" w:rsidRPr="004F2EBF" w14:paraId="23037CCF" w14:textId="77777777" w:rsidTr="005A7BD7">
        <w:trPr>
          <w:cnfStyle w:val="100000000000" w:firstRow="1" w:lastRow="0" w:firstColumn="0" w:lastColumn="0" w:oddVBand="0" w:evenVBand="0" w:oddHBand="0" w:evenHBand="0" w:firstRowFirstColumn="0" w:firstRowLastColumn="0" w:lastRowFirstColumn="0" w:lastRowLastColumn="0"/>
        </w:trPr>
        <w:tc>
          <w:tcPr>
            <w:tcW w:w="4106" w:type="dxa"/>
          </w:tcPr>
          <w:p w14:paraId="5DF4BF62" w14:textId="40A1C5D2" w:rsidR="007331D0" w:rsidRPr="005A7BD7" w:rsidRDefault="007331D0" w:rsidP="007331D0">
            <w:pPr>
              <w:rPr>
                <w:rStyle w:val="Bold"/>
                <w:rFonts w:ascii="Arial" w:hAnsi="Arial" w:cs="Arial"/>
                <w:b/>
              </w:rPr>
            </w:pPr>
            <w:r w:rsidRPr="005A7BD7">
              <w:rPr>
                <w:rStyle w:val="Bold"/>
                <w:rFonts w:ascii="Arial" w:hAnsi="Arial" w:cs="Arial"/>
                <w:b/>
              </w:rPr>
              <w:t>Indicator(s)</w:t>
            </w:r>
          </w:p>
        </w:tc>
        <w:tc>
          <w:tcPr>
            <w:tcW w:w="1701" w:type="dxa"/>
          </w:tcPr>
          <w:p w14:paraId="115EFA01" w14:textId="364520BD" w:rsidR="007331D0" w:rsidRPr="005A7BD7" w:rsidRDefault="007331D0" w:rsidP="007331D0">
            <w:pPr>
              <w:rPr>
                <w:rStyle w:val="Bold"/>
                <w:rFonts w:ascii="Arial" w:hAnsi="Arial" w:cs="Arial"/>
                <w:b/>
              </w:rPr>
            </w:pPr>
            <w:r w:rsidRPr="005A7BD7">
              <w:rPr>
                <w:rStyle w:val="Bold"/>
                <w:rFonts w:ascii="Arial" w:hAnsi="Arial" w:cs="Arial"/>
                <w:b/>
              </w:rPr>
              <w:t>Milestone for the review</w:t>
            </w:r>
          </w:p>
        </w:tc>
        <w:tc>
          <w:tcPr>
            <w:tcW w:w="3821" w:type="dxa"/>
          </w:tcPr>
          <w:p w14:paraId="03A9C552" w14:textId="1AB9B9B8" w:rsidR="007331D0" w:rsidRPr="005A7BD7" w:rsidRDefault="007331D0" w:rsidP="007331D0">
            <w:pPr>
              <w:rPr>
                <w:rStyle w:val="Bold"/>
                <w:rFonts w:ascii="Arial" w:hAnsi="Arial" w:cs="Arial"/>
                <w:b/>
              </w:rPr>
            </w:pPr>
            <w:r w:rsidRPr="005A7BD7">
              <w:rPr>
                <w:rStyle w:val="Bold"/>
                <w:rFonts w:ascii="Arial" w:hAnsi="Arial" w:cs="Arial"/>
                <w:b/>
              </w:rPr>
              <w:t>Progress</w:t>
            </w:r>
          </w:p>
        </w:tc>
      </w:tr>
      <w:tr w:rsidR="007331D0" w:rsidRPr="004F2EBF" w14:paraId="0E3448E7" w14:textId="77777777" w:rsidTr="005A7BD7">
        <w:tc>
          <w:tcPr>
            <w:tcW w:w="4106" w:type="dxa"/>
          </w:tcPr>
          <w:p w14:paraId="57D7D682" w14:textId="7D34CE99" w:rsidR="007331D0" w:rsidRPr="005A7BD7" w:rsidRDefault="00025469" w:rsidP="007331D0">
            <w:pPr>
              <w:rPr>
                <w:rFonts w:cs="Arial"/>
              </w:rPr>
            </w:pPr>
            <w:r w:rsidRPr="005A7BD7">
              <w:rPr>
                <w:rFonts w:cs="Arial"/>
              </w:rPr>
              <w:t xml:space="preserve">8.1 </w:t>
            </w:r>
            <w:r w:rsidR="007331D0" w:rsidRPr="005A7BD7">
              <w:rPr>
                <w:rFonts w:cs="Arial"/>
              </w:rPr>
              <w:t>Number of FF countries submitting data into GLASS (</w:t>
            </w:r>
            <w:r w:rsidR="00C442DE">
              <w:rPr>
                <w:rFonts w:cs="Arial"/>
              </w:rPr>
              <w:t>MA</w:t>
            </w:r>
            <w:r w:rsidR="007331D0" w:rsidRPr="005A7BD7">
              <w:rPr>
                <w:rFonts w:cs="Arial"/>
              </w:rPr>
              <w:t>/WHO)</w:t>
            </w:r>
          </w:p>
        </w:tc>
        <w:tc>
          <w:tcPr>
            <w:tcW w:w="1701" w:type="dxa"/>
          </w:tcPr>
          <w:p w14:paraId="0E4D13BE" w14:textId="747F3EB9" w:rsidR="007331D0" w:rsidRPr="005A7BD7" w:rsidRDefault="007331D0" w:rsidP="007331D0">
            <w:pPr>
              <w:rPr>
                <w:rFonts w:cs="Arial"/>
              </w:rPr>
            </w:pPr>
            <w:r w:rsidRPr="005A7BD7">
              <w:rPr>
                <w:rFonts w:cs="Arial"/>
              </w:rPr>
              <w:t>15</w:t>
            </w:r>
          </w:p>
        </w:tc>
        <w:tc>
          <w:tcPr>
            <w:tcW w:w="3821" w:type="dxa"/>
          </w:tcPr>
          <w:p w14:paraId="60EAB8D8" w14:textId="77777777" w:rsidR="007331D0" w:rsidRPr="005A7BD7" w:rsidRDefault="007331D0" w:rsidP="007331D0">
            <w:pPr>
              <w:pStyle w:val="Bullet"/>
              <w:rPr>
                <w:rFonts w:cs="Arial"/>
              </w:rPr>
            </w:pPr>
            <w:r w:rsidRPr="005A7BD7">
              <w:rPr>
                <w:rStyle w:val="Bold"/>
                <w:rFonts w:cs="Arial"/>
              </w:rPr>
              <w:t>Surpassed</w:t>
            </w:r>
          </w:p>
          <w:p w14:paraId="3C49858F" w14:textId="1A708A21" w:rsidR="007331D0" w:rsidRPr="005A7BD7" w:rsidRDefault="007331D0" w:rsidP="007331D0">
            <w:pPr>
              <w:rPr>
                <w:rFonts w:cs="Arial"/>
              </w:rPr>
            </w:pPr>
            <w:r w:rsidRPr="005A7BD7">
              <w:rPr>
                <w:rFonts w:cs="Arial"/>
              </w:rPr>
              <w:t xml:space="preserve">17 </w:t>
            </w:r>
          </w:p>
          <w:p w14:paraId="7545B4C1" w14:textId="082853F6" w:rsidR="007331D0" w:rsidRPr="005A7BD7" w:rsidRDefault="007331D0" w:rsidP="007331D0">
            <w:pPr>
              <w:rPr>
                <w:rFonts w:cs="Arial"/>
              </w:rPr>
            </w:pPr>
            <w:r w:rsidRPr="005A7BD7">
              <w:rPr>
                <w:rFonts w:cs="Arial"/>
              </w:rPr>
              <w:t>2 submitted implementation data only</w:t>
            </w:r>
          </w:p>
        </w:tc>
      </w:tr>
      <w:tr w:rsidR="007331D0" w:rsidRPr="004F2EBF" w14:paraId="174ACC21" w14:textId="77777777" w:rsidTr="005A7BD7">
        <w:tc>
          <w:tcPr>
            <w:tcW w:w="4106" w:type="dxa"/>
          </w:tcPr>
          <w:p w14:paraId="06DD71E8" w14:textId="47B595FE" w:rsidR="007331D0" w:rsidRPr="005A7BD7" w:rsidRDefault="00025469" w:rsidP="007331D0">
            <w:pPr>
              <w:rPr>
                <w:rFonts w:cs="Arial"/>
              </w:rPr>
            </w:pPr>
            <w:r w:rsidRPr="005A7BD7">
              <w:rPr>
                <w:rFonts w:cs="Arial"/>
              </w:rPr>
              <w:t xml:space="preserve">8.2 </w:t>
            </w:r>
            <w:r w:rsidR="007331D0" w:rsidRPr="005A7BD7">
              <w:rPr>
                <w:rFonts w:cs="Arial"/>
              </w:rPr>
              <w:t>Percentage of Fleming Fund supported countries producing improved data for GLASS (</w:t>
            </w:r>
            <w:r w:rsidR="00C442DE">
              <w:rPr>
                <w:rFonts w:cs="Arial"/>
              </w:rPr>
              <w:t>MA</w:t>
            </w:r>
            <w:r w:rsidR="007331D0" w:rsidRPr="005A7BD7">
              <w:rPr>
                <w:rFonts w:cs="Arial"/>
              </w:rPr>
              <w:t>)</w:t>
            </w:r>
          </w:p>
        </w:tc>
        <w:tc>
          <w:tcPr>
            <w:tcW w:w="1701" w:type="dxa"/>
          </w:tcPr>
          <w:p w14:paraId="7867764B" w14:textId="1E8DDC52" w:rsidR="007331D0" w:rsidRPr="005A7BD7" w:rsidRDefault="007331D0" w:rsidP="007331D0">
            <w:pPr>
              <w:rPr>
                <w:rFonts w:cs="Arial"/>
              </w:rPr>
            </w:pPr>
            <w:r w:rsidRPr="005A7BD7">
              <w:rPr>
                <w:rFonts w:cs="Arial"/>
              </w:rPr>
              <w:t>80% (minimum 16 countries)</w:t>
            </w:r>
          </w:p>
        </w:tc>
        <w:tc>
          <w:tcPr>
            <w:tcW w:w="3821" w:type="dxa"/>
          </w:tcPr>
          <w:p w14:paraId="065B5DCF" w14:textId="77777777" w:rsidR="007331D0" w:rsidRPr="005A7BD7" w:rsidRDefault="007331D0" w:rsidP="007331D0">
            <w:pPr>
              <w:pStyle w:val="Bullet"/>
              <w:rPr>
                <w:rFonts w:cs="Arial"/>
              </w:rPr>
            </w:pPr>
            <w:r w:rsidRPr="005A7BD7">
              <w:rPr>
                <w:rStyle w:val="Bold"/>
                <w:rFonts w:cs="Arial"/>
              </w:rPr>
              <w:t>Achieved</w:t>
            </w:r>
          </w:p>
          <w:p w14:paraId="7FC72E5E" w14:textId="55E98289" w:rsidR="007331D0" w:rsidRPr="005A7BD7" w:rsidRDefault="007331D0" w:rsidP="007331D0">
            <w:pPr>
              <w:rPr>
                <w:rFonts w:cs="Arial"/>
              </w:rPr>
            </w:pPr>
            <w:r w:rsidRPr="005A7BD7">
              <w:rPr>
                <w:rFonts w:cs="Arial"/>
              </w:rPr>
              <w:t>89% (16/18)</w:t>
            </w:r>
          </w:p>
        </w:tc>
      </w:tr>
    </w:tbl>
    <w:p w14:paraId="645F1D76" w14:textId="413B0B0C" w:rsidR="00CA40C1" w:rsidRDefault="00CA40C1" w:rsidP="008A18A9">
      <w:pPr>
        <w:pStyle w:val="Table-bodytext"/>
      </w:pPr>
    </w:p>
    <w:p w14:paraId="1123947E" w14:textId="1F307BD3" w:rsidR="00C83097" w:rsidRDefault="00B6089B" w:rsidP="00C83097">
      <w:pPr>
        <w:pStyle w:val="ParagraphText-unnumbered"/>
      </w:pPr>
      <w:r>
        <w:t>The number of</w:t>
      </w:r>
      <w:r w:rsidR="00907FDD">
        <w:t xml:space="preserve"> Fleming Fund</w:t>
      </w:r>
      <w:r w:rsidR="00460000">
        <w:t xml:space="preserve"> countries submitting data to GLASS has increased by</w:t>
      </w:r>
      <w:r w:rsidR="00401F37">
        <w:t xml:space="preserve"> 45% this year (from 13 to 19 countries)</w:t>
      </w:r>
      <w:r w:rsidR="00526262">
        <w:t>, far more than expected.</w:t>
      </w:r>
      <w:r w:rsidR="00025469">
        <w:t xml:space="preserve"> </w:t>
      </w:r>
      <w:r w:rsidR="00025469" w:rsidRPr="00025469">
        <w:t>Ghana, Nigeria, Malawi, Kenya, Tanzania, Uganda, Zambia, Bangladesh, Bhutan, India, Nepal, Pakistan, Sri Lanka, Myanmar, Timor-Leste, Indonesia</w:t>
      </w:r>
      <w:r w:rsidR="00025469">
        <w:t xml:space="preserve"> and</w:t>
      </w:r>
      <w:r w:rsidR="00025469" w:rsidRPr="00025469">
        <w:t xml:space="preserve"> Laos</w:t>
      </w:r>
      <w:r w:rsidR="00025469">
        <w:t xml:space="preserve"> submitted all required data. Sierra Leone and Papua New Guinea submitted implementation data only.</w:t>
      </w:r>
    </w:p>
    <w:p w14:paraId="2D50E05D" w14:textId="220AFF08" w:rsidR="00025469" w:rsidRPr="00C83097" w:rsidRDefault="00025469" w:rsidP="00C83097">
      <w:pPr>
        <w:pStyle w:val="ParagraphText-unnumbered"/>
      </w:pPr>
      <w:r>
        <w:lastRenderedPageBreak/>
        <w:t xml:space="preserve">Of those countries, </w:t>
      </w:r>
      <w:r w:rsidRPr="00025469">
        <w:t>Bangladesh, Bhutan, Ghana, Indonesia, Kenya, Laos, Malawi, Nepal, Nigeria, Pakistan, Papua New Guinea, Tanzania, Timor-Leste, Vietnam, Zambia</w:t>
      </w:r>
      <w:r>
        <w:t xml:space="preserve"> and </w:t>
      </w:r>
      <w:r w:rsidRPr="00025469">
        <w:t>Zimbabwe</w:t>
      </w:r>
      <w:r>
        <w:t xml:space="preserve"> produced improved data for GLASS.</w:t>
      </w:r>
    </w:p>
    <w:p w14:paraId="2C110B58" w14:textId="3E65B83C" w:rsidR="005C6702" w:rsidRDefault="005C6702" w:rsidP="005C6702">
      <w:pPr>
        <w:pStyle w:val="Heading3"/>
      </w:pPr>
      <w:r w:rsidRPr="005C6702">
        <w:t>3.</w:t>
      </w:r>
      <w:r w:rsidR="00CE4B75">
        <w:t>9</w:t>
      </w:r>
      <w:r w:rsidRPr="005C6702">
        <w:t xml:space="preserve"> </w:t>
      </w:r>
      <w:r w:rsidR="00C23B46">
        <w:t>Global Burden of AMR</w:t>
      </w:r>
      <w:r w:rsidRPr="005C6702">
        <w:t xml:space="preserve"> data</w:t>
      </w:r>
    </w:p>
    <w:p w14:paraId="63B8CE6C" w14:textId="7C8BC0BC" w:rsidR="00D23019" w:rsidRPr="00D23019" w:rsidRDefault="00D23019" w:rsidP="00D23019">
      <w:pPr>
        <w:pStyle w:val="ParagraphText-unnumbered"/>
        <w:rPr>
          <w:b/>
          <w:bCs/>
        </w:rPr>
      </w:pPr>
      <w:r w:rsidRPr="00D23019">
        <w:rPr>
          <w:b/>
          <w:bCs/>
        </w:rPr>
        <w:t xml:space="preserve">Output number: </w:t>
      </w:r>
      <w:r>
        <w:rPr>
          <w:b/>
          <w:bCs/>
        </w:rPr>
        <w:t>9</w:t>
      </w:r>
    </w:p>
    <w:p w14:paraId="43D3F46E" w14:textId="4ADA8A79" w:rsidR="00D23019" w:rsidRPr="00D23019" w:rsidRDefault="00D23019" w:rsidP="00D23019">
      <w:pPr>
        <w:pStyle w:val="ParagraphText-unnumbered"/>
        <w:rPr>
          <w:b/>
          <w:bCs/>
        </w:rPr>
      </w:pPr>
      <w:r w:rsidRPr="00D23019">
        <w:rPr>
          <w:b/>
          <w:bCs/>
        </w:rPr>
        <w:t xml:space="preserve">Output score: </w:t>
      </w:r>
      <w:r>
        <w:rPr>
          <w:b/>
          <w:bCs/>
        </w:rPr>
        <w:t>B</w:t>
      </w:r>
    </w:p>
    <w:p w14:paraId="5F59B3D5" w14:textId="4ADB5F0B" w:rsidR="00164442" w:rsidRPr="00D23019" w:rsidRDefault="00D23019" w:rsidP="00164442">
      <w:pPr>
        <w:pStyle w:val="ParagraphText-unnumbered"/>
        <w:rPr>
          <w:b/>
        </w:rPr>
      </w:pPr>
      <w:r w:rsidRPr="00D23019">
        <w:rPr>
          <w:b/>
          <w:bCs/>
        </w:rPr>
        <w:t xml:space="preserve">Impact weighting: </w:t>
      </w:r>
      <w:r>
        <w:rPr>
          <w:b/>
          <w:bCs/>
        </w:rPr>
        <w:t>10</w:t>
      </w:r>
      <w:r w:rsidRPr="00D23019">
        <w:rPr>
          <w:b/>
          <w:bCs/>
        </w:rPr>
        <w:t>%</w:t>
      </w:r>
    </w:p>
    <w:tbl>
      <w:tblPr>
        <w:tblStyle w:val="DHSCtable"/>
        <w:tblW w:w="0" w:type="auto"/>
        <w:tblLook w:val="04A0" w:firstRow="1" w:lastRow="0" w:firstColumn="1" w:lastColumn="0" w:noHBand="0" w:noVBand="1"/>
      </w:tblPr>
      <w:tblGrid>
        <w:gridCol w:w="4106"/>
        <w:gridCol w:w="1701"/>
        <w:gridCol w:w="3821"/>
      </w:tblGrid>
      <w:tr w:rsidR="005C6702" w:rsidRPr="005C6702" w14:paraId="61D94A92" w14:textId="77777777" w:rsidTr="005A7BD7">
        <w:trPr>
          <w:cnfStyle w:val="100000000000" w:firstRow="1" w:lastRow="0" w:firstColumn="0" w:lastColumn="0" w:oddVBand="0" w:evenVBand="0" w:oddHBand="0" w:evenHBand="0" w:firstRowFirstColumn="0" w:firstRowLastColumn="0" w:lastRowFirstColumn="0" w:lastRowLastColumn="0"/>
        </w:trPr>
        <w:tc>
          <w:tcPr>
            <w:tcW w:w="4106" w:type="dxa"/>
          </w:tcPr>
          <w:p w14:paraId="24ED06F0" w14:textId="77777777" w:rsidR="005C6702" w:rsidRPr="005A7BD7" w:rsidRDefault="005C6702" w:rsidP="005C6702">
            <w:pPr>
              <w:rPr>
                <w:rStyle w:val="Bold"/>
                <w:rFonts w:ascii="Arial" w:hAnsi="Arial" w:cs="Arial"/>
                <w:b/>
              </w:rPr>
            </w:pPr>
            <w:r w:rsidRPr="005A7BD7">
              <w:rPr>
                <w:rStyle w:val="Bold"/>
                <w:rFonts w:ascii="Arial" w:hAnsi="Arial" w:cs="Arial"/>
                <w:b/>
              </w:rPr>
              <w:t>Indicator(s)</w:t>
            </w:r>
          </w:p>
        </w:tc>
        <w:tc>
          <w:tcPr>
            <w:tcW w:w="1701" w:type="dxa"/>
          </w:tcPr>
          <w:p w14:paraId="342FE21B" w14:textId="77777777" w:rsidR="005C6702" w:rsidRPr="005A7BD7" w:rsidRDefault="005C6702" w:rsidP="005C6702">
            <w:pPr>
              <w:rPr>
                <w:rStyle w:val="Bold"/>
                <w:rFonts w:ascii="Arial" w:hAnsi="Arial" w:cs="Arial"/>
                <w:b/>
              </w:rPr>
            </w:pPr>
            <w:r w:rsidRPr="005A7BD7">
              <w:rPr>
                <w:rStyle w:val="Bold"/>
                <w:rFonts w:ascii="Arial" w:hAnsi="Arial" w:cs="Arial"/>
                <w:b/>
              </w:rPr>
              <w:t>Milestone for the review</w:t>
            </w:r>
          </w:p>
        </w:tc>
        <w:tc>
          <w:tcPr>
            <w:tcW w:w="3821" w:type="dxa"/>
          </w:tcPr>
          <w:p w14:paraId="2C01F323" w14:textId="77777777" w:rsidR="005C6702" w:rsidRPr="005A7BD7" w:rsidRDefault="005C6702" w:rsidP="005C6702">
            <w:pPr>
              <w:rPr>
                <w:rStyle w:val="Bold"/>
                <w:rFonts w:ascii="Arial" w:hAnsi="Arial" w:cs="Arial"/>
                <w:b/>
              </w:rPr>
            </w:pPr>
            <w:r w:rsidRPr="005A7BD7">
              <w:rPr>
                <w:rStyle w:val="Bold"/>
                <w:rFonts w:ascii="Arial" w:hAnsi="Arial" w:cs="Arial"/>
                <w:b/>
              </w:rPr>
              <w:t>Progress</w:t>
            </w:r>
          </w:p>
        </w:tc>
      </w:tr>
      <w:tr w:rsidR="005C6702" w:rsidRPr="005C6702" w14:paraId="05C491DE" w14:textId="77777777" w:rsidTr="005A7BD7">
        <w:tc>
          <w:tcPr>
            <w:tcW w:w="4106" w:type="dxa"/>
          </w:tcPr>
          <w:p w14:paraId="680EC078" w14:textId="3912CF67" w:rsidR="005C6702" w:rsidRPr="005A7BD7" w:rsidRDefault="00025469" w:rsidP="005C6702">
            <w:pPr>
              <w:rPr>
                <w:rFonts w:cs="Arial"/>
              </w:rPr>
            </w:pPr>
            <w:r w:rsidRPr="005A7BD7">
              <w:rPr>
                <w:rFonts w:cs="Arial"/>
              </w:rPr>
              <w:t xml:space="preserve">9.1 </w:t>
            </w:r>
            <w:r w:rsidR="00C23B46" w:rsidRPr="005A7BD7">
              <w:rPr>
                <w:rFonts w:cs="Arial"/>
              </w:rPr>
              <w:t>Number of articles on historical AMR burden submitted to a peer review journal cumulatively (GRAM)</w:t>
            </w:r>
          </w:p>
        </w:tc>
        <w:tc>
          <w:tcPr>
            <w:tcW w:w="1701" w:type="dxa"/>
          </w:tcPr>
          <w:p w14:paraId="18FA97FC" w14:textId="4C66180D" w:rsidR="005C6702" w:rsidRPr="005A7BD7" w:rsidRDefault="005C6702" w:rsidP="005C6702">
            <w:pPr>
              <w:rPr>
                <w:rFonts w:cs="Arial"/>
              </w:rPr>
            </w:pPr>
            <w:r w:rsidRPr="005A7BD7">
              <w:rPr>
                <w:rFonts w:cs="Arial"/>
              </w:rPr>
              <w:t>1</w:t>
            </w:r>
            <w:r w:rsidR="00C23B46" w:rsidRPr="005A7BD7">
              <w:rPr>
                <w:rFonts w:cs="Arial"/>
              </w:rPr>
              <w:t>1</w:t>
            </w:r>
          </w:p>
        </w:tc>
        <w:tc>
          <w:tcPr>
            <w:tcW w:w="3821" w:type="dxa"/>
          </w:tcPr>
          <w:p w14:paraId="538DBB30" w14:textId="77777777" w:rsidR="005C6702" w:rsidRPr="005A7BD7" w:rsidRDefault="00C23B46" w:rsidP="007331D0">
            <w:pPr>
              <w:pStyle w:val="Bullet"/>
              <w:rPr>
                <w:rFonts w:cs="Arial"/>
              </w:rPr>
            </w:pPr>
            <w:r w:rsidRPr="005A7BD7">
              <w:rPr>
                <w:rStyle w:val="Bold"/>
                <w:rFonts w:cs="Arial"/>
              </w:rPr>
              <w:t>Delayed</w:t>
            </w:r>
          </w:p>
          <w:p w14:paraId="49A31B17" w14:textId="6ABC5A07" w:rsidR="00032295" w:rsidRPr="005A7BD7" w:rsidRDefault="00C23B46" w:rsidP="005C6702">
            <w:pPr>
              <w:rPr>
                <w:rFonts w:cs="Arial"/>
              </w:rPr>
            </w:pPr>
            <w:r w:rsidRPr="005A7BD7">
              <w:rPr>
                <w:rFonts w:cs="Arial"/>
              </w:rPr>
              <w:t>10</w:t>
            </w:r>
            <w:r w:rsidR="00032295" w:rsidRPr="005A7BD7">
              <w:rPr>
                <w:rFonts w:cs="Arial"/>
              </w:rPr>
              <w:t xml:space="preserve"> papers submitted</w:t>
            </w:r>
            <w:r w:rsidR="00E54F49" w:rsidRPr="005A7BD7">
              <w:rPr>
                <w:rFonts w:cs="Arial"/>
              </w:rPr>
              <w:t xml:space="preserve"> (cumulative)</w:t>
            </w:r>
            <w:r w:rsidR="00032295" w:rsidRPr="005A7BD7">
              <w:rPr>
                <w:rFonts w:cs="Arial"/>
              </w:rPr>
              <w:t>.</w:t>
            </w:r>
          </w:p>
          <w:p w14:paraId="667085A9" w14:textId="6B6F325A" w:rsidR="00032295" w:rsidRPr="005A7BD7" w:rsidRDefault="005B7258" w:rsidP="005C6702">
            <w:pPr>
              <w:rPr>
                <w:rFonts w:cs="Arial"/>
              </w:rPr>
            </w:pPr>
            <w:r w:rsidRPr="005A7BD7">
              <w:rPr>
                <w:rFonts w:cs="Arial"/>
              </w:rPr>
              <w:t>Local modelling study</w:t>
            </w:r>
            <w:r w:rsidR="004C3609" w:rsidRPr="005A7BD7">
              <w:rPr>
                <w:rFonts w:cs="Arial"/>
              </w:rPr>
              <w:t xml:space="preserve"> delayed</w:t>
            </w:r>
            <w:r w:rsidR="00032295" w:rsidRPr="005A7BD7">
              <w:rPr>
                <w:rFonts w:cs="Arial"/>
              </w:rPr>
              <w:t xml:space="preserve"> due to extensive</w:t>
            </w:r>
            <w:r w:rsidR="004C3609" w:rsidRPr="005A7BD7">
              <w:rPr>
                <w:rFonts w:cs="Arial"/>
              </w:rPr>
              <w:t xml:space="preserve"> reviews and revision</w:t>
            </w:r>
            <w:r w:rsidRPr="005A7BD7">
              <w:rPr>
                <w:rFonts w:cs="Arial"/>
              </w:rPr>
              <w:t xml:space="preserve"> of the global burden of bacterial AMR in 2019 paper</w:t>
            </w:r>
            <w:r w:rsidR="004C3609" w:rsidRPr="005A7BD7">
              <w:rPr>
                <w:rFonts w:cs="Arial"/>
              </w:rPr>
              <w:t>.</w:t>
            </w:r>
          </w:p>
        </w:tc>
      </w:tr>
    </w:tbl>
    <w:p w14:paraId="544FD8BB" w14:textId="16C9A41F" w:rsidR="004F2EBF" w:rsidRDefault="004F2EBF" w:rsidP="008A18A9">
      <w:pPr>
        <w:pStyle w:val="Table-bodytext"/>
      </w:pPr>
    </w:p>
    <w:p w14:paraId="50AA0A2F" w14:textId="292F2639" w:rsidR="004C3609" w:rsidRDefault="00457EC9" w:rsidP="00247C48">
      <w:pPr>
        <w:pStyle w:val="ParagraphText-unnumbered"/>
      </w:pPr>
      <w:r>
        <w:t>Given the importance of the report on the global burden of bacterial infection, the</w:t>
      </w:r>
      <w:r w:rsidR="002D4536">
        <w:t xml:space="preserve"> publication of the</w:t>
      </w:r>
      <w:r>
        <w:t xml:space="preserve"> paper was delayed to </w:t>
      </w:r>
      <w:r w:rsidR="002D4536">
        <w:t xml:space="preserve">January 2022. However, </w:t>
      </w:r>
      <w:r w:rsidR="00C4330F">
        <w:t>its successful global dissemination (with a reach of over 12.1m people via social media) has en</w:t>
      </w:r>
      <w:r w:rsidR="00E87668">
        <w:t xml:space="preserve">sured </w:t>
      </w:r>
      <w:r w:rsidR="00673F59">
        <w:t xml:space="preserve">we exceed </w:t>
      </w:r>
      <w:r w:rsidR="00160C54">
        <w:t>expectations</w:t>
      </w:r>
      <w:r w:rsidR="00673F59">
        <w:t xml:space="preserve"> in terms of </w:t>
      </w:r>
      <w:r w:rsidR="00160C54">
        <w:t xml:space="preserve">dissemination of the report at global level. </w:t>
      </w:r>
    </w:p>
    <w:p w14:paraId="3A836D46" w14:textId="60A1A120" w:rsidR="00E87668" w:rsidRDefault="00E87668" w:rsidP="00025469">
      <w:pPr>
        <w:pStyle w:val="Boxedtext-greenborder"/>
      </w:pPr>
      <w:r w:rsidRPr="00025469">
        <w:rPr>
          <w:rStyle w:val="Bold"/>
        </w:rPr>
        <w:t>Recommendation</w:t>
      </w:r>
      <w:r w:rsidR="009F4C66">
        <w:rPr>
          <w:rStyle w:val="Bold"/>
        </w:rPr>
        <w:t xml:space="preserve"> 2</w:t>
      </w:r>
      <w:r>
        <w:t xml:space="preserve">: </w:t>
      </w:r>
      <w:r w:rsidR="0083248C" w:rsidRPr="0083248C">
        <w:t xml:space="preserve">Draw on </w:t>
      </w:r>
      <w:r w:rsidR="00282120" w:rsidRPr="00282120">
        <w:t xml:space="preserve">the phase 1 </w:t>
      </w:r>
      <w:r w:rsidR="0083248C" w:rsidRPr="0083248C">
        <w:t xml:space="preserve">GRAM evaluation lessons to enhance </w:t>
      </w:r>
      <w:r w:rsidR="00282120" w:rsidRPr="00282120">
        <w:t xml:space="preserve">the approach to sharing </w:t>
      </w:r>
      <w:r w:rsidR="0083248C" w:rsidRPr="0083248C">
        <w:t xml:space="preserve">burden data </w:t>
      </w:r>
      <w:r w:rsidR="00282120" w:rsidRPr="00282120">
        <w:t>with decision makers</w:t>
      </w:r>
      <w:r w:rsidR="0083248C" w:rsidRPr="0083248C">
        <w:t xml:space="preserve"> at global, regional and country level. </w:t>
      </w:r>
      <w:r w:rsidR="00282120" w:rsidRPr="00282120">
        <w:t>This work will take place during the phase 2 implementation stage and reviewed at the end of 2022.</w:t>
      </w:r>
    </w:p>
    <w:p w14:paraId="3F46DA1E" w14:textId="31488548" w:rsidR="005B7258" w:rsidRDefault="00AA0F31" w:rsidP="00AA0F31">
      <w:pPr>
        <w:pStyle w:val="ParagraphText-unnumbered"/>
      </w:pPr>
      <w:r w:rsidRPr="00AA0F31">
        <w:t>The GRAM project's publications included the high impact studies</w:t>
      </w:r>
      <w:r>
        <w:t>, such as</w:t>
      </w:r>
      <w:r w:rsidRPr="00AA0F31">
        <w:t xml:space="preserve"> the </w:t>
      </w:r>
      <w:hyperlink r:id="rId33" w:history="1">
        <w:r w:rsidRPr="00AA0F31">
          <w:rPr>
            <w:rStyle w:val="Hyperlink"/>
          </w:rPr>
          <w:t>global burden of AMR study</w:t>
        </w:r>
      </w:hyperlink>
      <w:r w:rsidRPr="00AA0F31">
        <w:t xml:space="preserve"> and an </w:t>
      </w:r>
      <w:hyperlink r:id="rId34" w:history="1">
        <w:r w:rsidRPr="00AA0F31">
          <w:rPr>
            <w:rStyle w:val="Hyperlink"/>
          </w:rPr>
          <w:t>analysis of global AMC</w:t>
        </w:r>
      </w:hyperlink>
      <w:r w:rsidRPr="00AA0F31">
        <w:t xml:space="preserve"> both of which we</w:t>
      </w:r>
      <w:r>
        <w:t>re</w:t>
      </w:r>
      <w:r w:rsidRPr="00AA0F31">
        <w:t xml:space="preserve"> published in the Lancet.</w:t>
      </w:r>
    </w:p>
    <w:p w14:paraId="4D4F8011" w14:textId="641F1D97" w:rsidR="004C3609" w:rsidRDefault="004C3609" w:rsidP="00CE4B75">
      <w:pPr>
        <w:pStyle w:val="Heading3"/>
      </w:pPr>
      <w:r w:rsidRPr="004C3609">
        <w:t>3.</w:t>
      </w:r>
      <w:r w:rsidR="00CE4B75">
        <w:t>10</w:t>
      </w:r>
      <w:r w:rsidRPr="004C3609">
        <w:t xml:space="preserve"> </w:t>
      </w:r>
      <w:r w:rsidR="00CE4B75">
        <w:t>Awareness and Advocacy</w:t>
      </w:r>
    </w:p>
    <w:p w14:paraId="36CDF4A6" w14:textId="0435B9F2" w:rsidR="00D23019" w:rsidRPr="00D23019" w:rsidRDefault="00D23019" w:rsidP="00D23019">
      <w:pPr>
        <w:pStyle w:val="ParagraphText-unnumbered"/>
        <w:rPr>
          <w:b/>
          <w:bCs/>
        </w:rPr>
      </w:pPr>
      <w:r w:rsidRPr="00D23019">
        <w:rPr>
          <w:b/>
          <w:bCs/>
        </w:rPr>
        <w:t>Output number: 1</w:t>
      </w:r>
      <w:r>
        <w:rPr>
          <w:b/>
          <w:bCs/>
        </w:rPr>
        <w:t>0</w:t>
      </w:r>
    </w:p>
    <w:p w14:paraId="162F5B39" w14:textId="1C2B2640" w:rsidR="00D23019" w:rsidRPr="00D23019" w:rsidRDefault="00D23019" w:rsidP="00D23019">
      <w:pPr>
        <w:pStyle w:val="ParagraphText-unnumbered"/>
        <w:rPr>
          <w:b/>
          <w:bCs/>
        </w:rPr>
      </w:pPr>
      <w:r w:rsidRPr="00D23019">
        <w:rPr>
          <w:b/>
          <w:bCs/>
        </w:rPr>
        <w:t>Output score: A</w:t>
      </w:r>
      <w:r>
        <w:rPr>
          <w:b/>
          <w:bCs/>
        </w:rPr>
        <w:t>+</w:t>
      </w:r>
    </w:p>
    <w:p w14:paraId="18BF18AD" w14:textId="121043B1" w:rsidR="00656D71" w:rsidRPr="00D23019" w:rsidRDefault="00D23019" w:rsidP="00656D71">
      <w:pPr>
        <w:pStyle w:val="ParagraphText-unnumbered"/>
        <w:rPr>
          <w:b/>
        </w:rPr>
      </w:pPr>
      <w:r w:rsidRPr="00D23019">
        <w:rPr>
          <w:b/>
          <w:bCs/>
        </w:rPr>
        <w:t>Impact weighting: 5%</w:t>
      </w:r>
    </w:p>
    <w:tbl>
      <w:tblPr>
        <w:tblStyle w:val="DHSCtable"/>
        <w:tblW w:w="0" w:type="auto"/>
        <w:tblLook w:val="04A0" w:firstRow="1" w:lastRow="0" w:firstColumn="1" w:lastColumn="0" w:noHBand="0" w:noVBand="1"/>
      </w:tblPr>
      <w:tblGrid>
        <w:gridCol w:w="4390"/>
        <w:gridCol w:w="1417"/>
        <w:gridCol w:w="3821"/>
      </w:tblGrid>
      <w:tr w:rsidR="004C3609" w:rsidRPr="004C3609" w14:paraId="5C2523A1" w14:textId="77777777" w:rsidTr="005A7BD7">
        <w:trPr>
          <w:cnfStyle w:val="100000000000" w:firstRow="1" w:lastRow="0" w:firstColumn="0" w:lastColumn="0" w:oddVBand="0" w:evenVBand="0" w:oddHBand="0" w:evenHBand="0" w:firstRowFirstColumn="0" w:firstRowLastColumn="0" w:lastRowFirstColumn="0" w:lastRowLastColumn="0"/>
        </w:trPr>
        <w:tc>
          <w:tcPr>
            <w:tcW w:w="4390" w:type="dxa"/>
          </w:tcPr>
          <w:p w14:paraId="7DF0D800" w14:textId="77777777" w:rsidR="004C3609" w:rsidRPr="005A7BD7" w:rsidRDefault="004C3609" w:rsidP="004C3609">
            <w:pPr>
              <w:rPr>
                <w:rStyle w:val="Bold"/>
                <w:rFonts w:ascii="Arial" w:hAnsi="Arial" w:cs="Arial"/>
                <w:b/>
              </w:rPr>
            </w:pPr>
            <w:r w:rsidRPr="005A7BD7">
              <w:rPr>
                <w:rStyle w:val="Bold"/>
                <w:rFonts w:ascii="Arial" w:hAnsi="Arial" w:cs="Arial"/>
                <w:b/>
              </w:rPr>
              <w:lastRenderedPageBreak/>
              <w:t>Indicator(s)</w:t>
            </w:r>
          </w:p>
        </w:tc>
        <w:tc>
          <w:tcPr>
            <w:tcW w:w="1417" w:type="dxa"/>
          </w:tcPr>
          <w:p w14:paraId="1B9B7150" w14:textId="77777777" w:rsidR="004C3609" w:rsidRPr="005A7BD7" w:rsidRDefault="004C3609" w:rsidP="004C3609">
            <w:pPr>
              <w:rPr>
                <w:rStyle w:val="Bold"/>
                <w:rFonts w:ascii="Arial" w:hAnsi="Arial" w:cs="Arial"/>
                <w:b/>
              </w:rPr>
            </w:pPr>
            <w:r w:rsidRPr="005A7BD7">
              <w:rPr>
                <w:rStyle w:val="Bold"/>
                <w:rFonts w:ascii="Arial" w:hAnsi="Arial" w:cs="Arial"/>
                <w:b/>
              </w:rPr>
              <w:t>Milestone for the review</w:t>
            </w:r>
          </w:p>
        </w:tc>
        <w:tc>
          <w:tcPr>
            <w:tcW w:w="3821" w:type="dxa"/>
          </w:tcPr>
          <w:p w14:paraId="3556C089" w14:textId="77777777" w:rsidR="004C3609" w:rsidRPr="005A7BD7" w:rsidRDefault="004C3609" w:rsidP="004C3609">
            <w:pPr>
              <w:rPr>
                <w:rStyle w:val="Bold"/>
                <w:rFonts w:ascii="Arial" w:hAnsi="Arial" w:cs="Arial"/>
                <w:b/>
              </w:rPr>
            </w:pPr>
            <w:r w:rsidRPr="005A7BD7">
              <w:rPr>
                <w:rStyle w:val="Bold"/>
                <w:rFonts w:ascii="Arial" w:hAnsi="Arial" w:cs="Arial"/>
                <w:b/>
              </w:rPr>
              <w:t>Progress</w:t>
            </w:r>
          </w:p>
        </w:tc>
      </w:tr>
      <w:tr w:rsidR="004C3609" w:rsidRPr="004C3609" w14:paraId="1674C86D" w14:textId="77777777" w:rsidTr="005A7BD7">
        <w:tc>
          <w:tcPr>
            <w:tcW w:w="4390" w:type="dxa"/>
          </w:tcPr>
          <w:p w14:paraId="17D4CBDB" w14:textId="2DB2000A" w:rsidR="004C3609" w:rsidRPr="005A7BD7" w:rsidRDefault="00025469" w:rsidP="004C3609">
            <w:pPr>
              <w:rPr>
                <w:rFonts w:cs="Arial"/>
              </w:rPr>
            </w:pPr>
            <w:r w:rsidRPr="005A7BD7">
              <w:rPr>
                <w:rFonts w:cs="Arial"/>
              </w:rPr>
              <w:t xml:space="preserve">10.1 </w:t>
            </w:r>
            <w:r w:rsidR="0040335E" w:rsidRPr="005A7BD7">
              <w:rPr>
                <w:rFonts w:cs="Arial"/>
              </w:rPr>
              <w:t>Average number of page views per news article per month uploaded to the Fleming Fund website in 2021 (FF)</w:t>
            </w:r>
          </w:p>
        </w:tc>
        <w:tc>
          <w:tcPr>
            <w:tcW w:w="1417" w:type="dxa"/>
          </w:tcPr>
          <w:p w14:paraId="599D4768" w14:textId="4A48BBAF" w:rsidR="004C3609" w:rsidRPr="005A7BD7" w:rsidRDefault="0040335E" w:rsidP="004C3609">
            <w:pPr>
              <w:rPr>
                <w:rFonts w:cs="Arial"/>
              </w:rPr>
            </w:pPr>
            <w:r w:rsidRPr="005A7BD7">
              <w:rPr>
                <w:rFonts w:cs="Arial"/>
              </w:rPr>
              <w:t>75</w:t>
            </w:r>
          </w:p>
        </w:tc>
        <w:tc>
          <w:tcPr>
            <w:tcW w:w="3821" w:type="dxa"/>
          </w:tcPr>
          <w:p w14:paraId="01C93920" w14:textId="789FAAE8" w:rsidR="004C3609" w:rsidRPr="005A7BD7" w:rsidRDefault="004A6159" w:rsidP="007331D0">
            <w:pPr>
              <w:pStyle w:val="Bullet"/>
              <w:rPr>
                <w:rFonts w:cs="Arial"/>
              </w:rPr>
            </w:pPr>
            <w:r w:rsidRPr="005A7BD7">
              <w:rPr>
                <w:rStyle w:val="Bold"/>
                <w:rFonts w:cs="Arial"/>
              </w:rPr>
              <w:t>Surpassed</w:t>
            </w:r>
          </w:p>
          <w:p w14:paraId="17FE6BA8" w14:textId="25F1F0AA" w:rsidR="004C3609" w:rsidRPr="005A7BD7" w:rsidRDefault="004A6159" w:rsidP="004C3609">
            <w:pPr>
              <w:rPr>
                <w:rFonts w:cs="Arial"/>
              </w:rPr>
            </w:pPr>
            <w:r w:rsidRPr="005A7BD7">
              <w:rPr>
                <w:rFonts w:cs="Arial"/>
              </w:rPr>
              <w:t>114.8</w:t>
            </w:r>
          </w:p>
        </w:tc>
      </w:tr>
      <w:tr w:rsidR="0040335E" w:rsidRPr="004C3609" w14:paraId="0855287A" w14:textId="77777777" w:rsidTr="005A7BD7">
        <w:tc>
          <w:tcPr>
            <w:tcW w:w="4390" w:type="dxa"/>
          </w:tcPr>
          <w:p w14:paraId="532618FF" w14:textId="4800D2D9" w:rsidR="0040335E" w:rsidRPr="005A7BD7" w:rsidRDefault="00025469" w:rsidP="004C3609">
            <w:pPr>
              <w:rPr>
                <w:rFonts w:cs="Arial"/>
              </w:rPr>
            </w:pPr>
            <w:r w:rsidRPr="005A7BD7">
              <w:rPr>
                <w:rFonts w:cs="Arial"/>
              </w:rPr>
              <w:t xml:space="preserve">10.2 </w:t>
            </w:r>
            <w:r w:rsidR="008422D7" w:rsidRPr="005A7BD7">
              <w:rPr>
                <w:rFonts w:cs="Arial"/>
              </w:rPr>
              <w:t>a)</w:t>
            </w:r>
            <w:r w:rsidRPr="005A7BD7">
              <w:rPr>
                <w:rFonts w:cs="Arial"/>
              </w:rPr>
              <w:t xml:space="preserve"> </w:t>
            </w:r>
            <w:r w:rsidR="0040335E" w:rsidRPr="005A7BD7">
              <w:rPr>
                <w:rFonts w:cs="Arial"/>
              </w:rPr>
              <w:t>Number of regional grants completing dissemination activities according to plan for 2021. (RG)</w:t>
            </w:r>
          </w:p>
        </w:tc>
        <w:tc>
          <w:tcPr>
            <w:tcW w:w="1417" w:type="dxa"/>
          </w:tcPr>
          <w:p w14:paraId="7799CB65" w14:textId="698ED5CF" w:rsidR="0040335E" w:rsidRPr="005A7BD7" w:rsidRDefault="0040335E" w:rsidP="004C3609">
            <w:pPr>
              <w:rPr>
                <w:rFonts w:cs="Arial"/>
              </w:rPr>
            </w:pPr>
            <w:r w:rsidRPr="005A7BD7">
              <w:rPr>
                <w:rFonts w:cs="Arial"/>
              </w:rPr>
              <w:t>70%</w:t>
            </w:r>
          </w:p>
        </w:tc>
        <w:tc>
          <w:tcPr>
            <w:tcW w:w="3821" w:type="dxa"/>
          </w:tcPr>
          <w:p w14:paraId="10347340" w14:textId="77777777" w:rsidR="0040335E" w:rsidRPr="005A7BD7" w:rsidRDefault="004A6159" w:rsidP="007331D0">
            <w:pPr>
              <w:pStyle w:val="Bullet"/>
              <w:rPr>
                <w:rFonts w:cs="Arial"/>
              </w:rPr>
            </w:pPr>
            <w:r w:rsidRPr="005A7BD7">
              <w:rPr>
                <w:rStyle w:val="Bold"/>
                <w:rFonts w:cs="Arial"/>
              </w:rPr>
              <w:t>Delayed</w:t>
            </w:r>
          </w:p>
          <w:p w14:paraId="102FABB6" w14:textId="1C0407C6" w:rsidR="004A6159" w:rsidRPr="005A7BD7" w:rsidRDefault="00027E6E" w:rsidP="004C3609">
            <w:pPr>
              <w:rPr>
                <w:rFonts w:cs="Arial"/>
              </w:rPr>
            </w:pPr>
            <w:r w:rsidRPr="005A7BD7">
              <w:rPr>
                <w:rFonts w:cs="Arial"/>
              </w:rPr>
              <w:t>3</w:t>
            </w:r>
            <w:r w:rsidR="004A6159" w:rsidRPr="005A7BD7">
              <w:rPr>
                <w:rFonts w:cs="Arial"/>
              </w:rPr>
              <w:t>0%</w:t>
            </w:r>
            <w:r w:rsidR="006A7C36" w:rsidRPr="005A7BD7">
              <w:rPr>
                <w:rFonts w:cs="Arial"/>
              </w:rPr>
              <w:t xml:space="preserve"> (</w:t>
            </w:r>
            <w:r w:rsidRPr="005A7BD7">
              <w:rPr>
                <w:rFonts w:cs="Arial"/>
              </w:rPr>
              <w:t>3</w:t>
            </w:r>
            <w:r w:rsidR="006A7C36" w:rsidRPr="005A7BD7">
              <w:rPr>
                <w:rFonts w:cs="Arial"/>
              </w:rPr>
              <w:t>/10)</w:t>
            </w:r>
          </w:p>
          <w:p w14:paraId="583C86DF" w14:textId="77777777" w:rsidR="007331D0" w:rsidRPr="005A7BD7" w:rsidRDefault="007331D0" w:rsidP="004C3609">
            <w:pPr>
              <w:rPr>
                <w:rFonts w:cs="Arial"/>
              </w:rPr>
            </w:pPr>
          </w:p>
          <w:p w14:paraId="30A04EA0" w14:textId="7682BCED" w:rsidR="006A7C36" w:rsidRPr="005A7BD7" w:rsidRDefault="006A7C36" w:rsidP="004C3609">
            <w:pPr>
              <w:rPr>
                <w:rFonts w:cs="Arial"/>
              </w:rPr>
            </w:pPr>
            <w:r w:rsidRPr="005A7BD7">
              <w:rPr>
                <w:rFonts w:cs="Arial"/>
              </w:rPr>
              <w:t>3 grants met the target</w:t>
            </w:r>
          </w:p>
          <w:p w14:paraId="13475ED9" w14:textId="00FC8C64" w:rsidR="006A7C36" w:rsidRPr="005A7BD7" w:rsidRDefault="006A7C36" w:rsidP="004C3609">
            <w:pPr>
              <w:rPr>
                <w:rFonts w:cs="Arial"/>
              </w:rPr>
            </w:pPr>
            <w:r w:rsidRPr="005A7BD7">
              <w:rPr>
                <w:rFonts w:cs="Arial"/>
              </w:rPr>
              <w:t xml:space="preserve">2 grants expected to complete activities in </w:t>
            </w:r>
            <w:r w:rsidR="00CF060D" w:rsidRPr="005A7BD7">
              <w:rPr>
                <w:rFonts w:cs="Arial"/>
              </w:rPr>
              <w:t>early</w:t>
            </w:r>
            <w:r w:rsidRPr="005A7BD7">
              <w:rPr>
                <w:rFonts w:cs="Arial"/>
              </w:rPr>
              <w:t xml:space="preserve"> 2022</w:t>
            </w:r>
          </w:p>
          <w:p w14:paraId="621CDCF2" w14:textId="79ED0111" w:rsidR="005C5381" w:rsidRPr="005A7BD7" w:rsidRDefault="006347B4" w:rsidP="004C3609">
            <w:pPr>
              <w:rPr>
                <w:rFonts w:cs="Arial"/>
              </w:rPr>
            </w:pPr>
            <w:r w:rsidRPr="005A7BD7">
              <w:rPr>
                <w:rFonts w:cs="Arial"/>
              </w:rPr>
              <w:t>5 grants had slower than expected delivery</w:t>
            </w:r>
          </w:p>
        </w:tc>
      </w:tr>
      <w:tr w:rsidR="0040335E" w:rsidRPr="004C3609" w14:paraId="47877BB6" w14:textId="77777777" w:rsidTr="005A7BD7">
        <w:tc>
          <w:tcPr>
            <w:tcW w:w="4390" w:type="dxa"/>
          </w:tcPr>
          <w:p w14:paraId="72E6D98D" w14:textId="4BCAB08E" w:rsidR="0040335E" w:rsidRPr="005A7BD7" w:rsidRDefault="00025469" w:rsidP="004C3609">
            <w:pPr>
              <w:rPr>
                <w:rFonts w:cs="Arial"/>
              </w:rPr>
            </w:pPr>
            <w:r w:rsidRPr="005A7BD7">
              <w:rPr>
                <w:rFonts w:cs="Arial"/>
              </w:rPr>
              <w:t>10.</w:t>
            </w:r>
            <w:r w:rsidR="008422D7" w:rsidRPr="005A7BD7">
              <w:rPr>
                <w:rFonts w:cs="Arial"/>
              </w:rPr>
              <w:t>2 b)</w:t>
            </w:r>
            <w:r w:rsidRPr="005A7BD7">
              <w:rPr>
                <w:rFonts w:cs="Arial"/>
              </w:rPr>
              <w:t xml:space="preserve"> </w:t>
            </w:r>
            <w:r w:rsidR="0040335E" w:rsidRPr="005A7BD7">
              <w:rPr>
                <w:rFonts w:cs="Arial"/>
              </w:rPr>
              <w:t>Number of regional grants reaching 60% or more of the target audience for their dissemination activities (RG)</w:t>
            </w:r>
          </w:p>
        </w:tc>
        <w:tc>
          <w:tcPr>
            <w:tcW w:w="1417" w:type="dxa"/>
          </w:tcPr>
          <w:p w14:paraId="1D34E053" w14:textId="16F82FA6" w:rsidR="0040335E" w:rsidRPr="005A7BD7" w:rsidRDefault="0040335E" w:rsidP="004C3609">
            <w:pPr>
              <w:rPr>
                <w:rFonts w:cs="Arial"/>
              </w:rPr>
            </w:pPr>
            <w:r w:rsidRPr="005A7BD7">
              <w:rPr>
                <w:rFonts w:cs="Arial"/>
              </w:rPr>
              <w:t>60%</w:t>
            </w:r>
          </w:p>
        </w:tc>
        <w:tc>
          <w:tcPr>
            <w:tcW w:w="3821" w:type="dxa"/>
          </w:tcPr>
          <w:p w14:paraId="531462E2" w14:textId="77777777" w:rsidR="0040335E" w:rsidRPr="005A7BD7" w:rsidRDefault="006347B4" w:rsidP="007331D0">
            <w:pPr>
              <w:pStyle w:val="Bullet"/>
              <w:rPr>
                <w:rFonts w:cs="Arial"/>
              </w:rPr>
            </w:pPr>
            <w:r w:rsidRPr="005A7BD7">
              <w:rPr>
                <w:rStyle w:val="Bold"/>
                <w:rFonts w:cs="Arial"/>
              </w:rPr>
              <w:t>Surpassed</w:t>
            </w:r>
          </w:p>
          <w:p w14:paraId="108E8B6D" w14:textId="3DFE88DE" w:rsidR="006347B4" w:rsidRPr="005A7BD7" w:rsidRDefault="006347B4" w:rsidP="004C3609">
            <w:pPr>
              <w:rPr>
                <w:rFonts w:cs="Arial"/>
              </w:rPr>
            </w:pPr>
            <w:r w:rsidRPr="005A7BD7">
              <w:rPr>
                <w:rFonts w:cs="Arial"/>
              </w:rPr>
              <w:t>90% (</w:t>
            </w:r>
            <w:r w:rsidR="002D2849" w:rsidRPr="005A7BD7">
              <w:rPr>
                <w:rFonts w:cs="Arial"/>
              </w:rPr>
              <w:t>9</w:t>
            </w:r>
            <w:r w:rsidRPr="005A7BD7">
              <w:rPr>
                <w:rFonts w:cs="Arial"/>
              </w:rPr>
              <w:t>/10)</w:t>
            </w:r>
          </w:p>
        </w:tc>
      </w:tr>
    </w:tbl>
    <w:p w14:paraId="156AA5D0" w14:textId="77777777" w:rsidR="004C3609" w:rsidRPr="00247C48" w:rsidRDefault="004C3609" w:rsidP="008A18A9">
      <w:pPr>
        <w:pStyle w:val="Table-bodytext"/>
      </w:pPr>
    </w:p>
    <w:p w14:paraId="2A44179C" w14:textId="1D4CDE7D" w:rsidR="004170AE" w:rsidRDefault="00D67F01" w:rsidP="004170AE">
      <w:pPr>
        <w:pStyle w:val="ParagraphText-unnumbered"/>
      </w:pPr>
      <w:r>
        <w:t>The COVID-19 pandemic affected dissemination activities</w:t>
      </w:r>
      <w:r w:rsidR="007B100B">
        <w:t xml:space="preserve"> </w:t>
      </w:r>
      <w:r w:rsidR="002D47A5">
        <w:t xml:space="preserve">and there was a slower inception than </w:t>
      </w:r>
      <w:r w:rsidR="0041695A">
        <w:t>originally anticipated</w:t>
      </w:r>
      <w:r w:rsidR="0005477E">
        <w:t xml:space="preserve">, though </w:t>
      </w:r>
      <w:r w:rsidR="00372CE3">
        <w:t xml:space="preserve">workplans were not </w:t>
      </w:r>
      <w:r w:rsidR="0005477E">
        <w:t>subsequently</w:t>
      </w:r>
      <w:r w:rsidR="00372CE3">
        <w:t xml:space="preserve"> adjusted </w:t>
      </w:r>
      <w:r w:rsidR="00102977">
        <w:t xml:space="preserve">and so the original baselines </w:t>
      </w:r>
      <w:r w:rsidR="00DC7669">
        <w:t>were not realistic.</w:t>
      </w:r>
      <w:r w:rsidR="00727CA4">
        <w:t xml:space="preserve"> </w:t>
      </w:r>
      <w:r w:rsidR="0083085B">
        <w:t>However</w:t>
      </w:r>
      <w:r w:rsidR="00C667AE">
        <w:t>, t</w:t>
      </w:r>
      <w:r w:rsidR="00E61098">
        <w:t xml:space="preserve">he regional grants were </w:t>
      </w:r>
      <w:r w:rsidR="00B75E51">
        <w:t xml:space="preserve">extremely effective, with all but one surpassing the target for </w:t>
      </w:r>
      <w:r w:rsidR="00853C82">
        <w:t>audience reach</w:t>
      </w:r>
      <w:r w:rsidR="00B75E51">
        <w:t>. The remaining grant had a high number of participants, but an even higher target audience of 500+ attendees</w:t>
      </w:r>
      <w:r w:rsidR="00BB7EDA">
        <w:t>, which was a very ambitious milestone for this year.</w:t>
      </w:r>
    </w:p>
    <w:p w14:paraId="114A9105" w14:textId="4C79E32A" w:rsidR="004170AE" w:rsidRDefault="008176BE" w:rsidP="00015CEE">
      <w:pPr>
        <w:pStyle w:val="Heading2"/>
      </w:pPr>
      <w:bookmarkStart w:id="1" w:name="_4._Project_performance"/>
      <w:bookmarkEnd w:id="1"/>
      <w:r>
        <w:t xml:space="preserve">4. </w:t>
      </w:r>
      <w:r w:rsidR="00015CEE">
        <w:t>Project performance</w:t>
      </w:r>
    </w:p>
    <w:p w14:paraId="7D8D4EC8" w14:textId="68A15F68" w:rsidR="00015CEE" w:rsidRDefault="00134404" w:rsidP="008B59FE">
      <w:pPr>
        <w:pStyle w:val="ParagraphText-unnumbered"/>
      </w:pPr>
      <w:r>
        <w:t xml:space="preserve">The Fleming Fund have developed </w:t>
      </w:r>
      <w:r w:rsidR="00B94426">
        <w:t xml:space="preserve">a </w:t>
      </w:r>
      <w:hyperlink r:id="rId35" w:history="1">
        <w:r w:rsidR="00AC6BA2">
          <w:rPr>
            <w:rStyle w:val="Hyperlink"/>
          </w:rPr>
          <w:t>phase 1</w:t>
        </w:r>
        <w:r w:rsidR="00B94426" w:rsidRPr="00B50C6B">
          <w:rPr>
            <w:rStyle w:val="Hyperlink"/>
          </w:rPr>
          <w:t xml:space="preserve"> report</w:t>
        </w:r>
      </w:hyperlink>
      <w:r w:rsidR="00B94426">
        <w:t xml:space="preserve"> </w:t>
      </w:r>
      <w:r w:rsidR="0061569C">
        <w:t>to provide a summary of</w:t>
      </w:r>
      <w:r w:rsidR="001B0458">
        <w:t xml:space="preserve"> </w:t>
      </w:r>
      <w:r w:rsidR="00B94426">
        <w:t xml:space="preserve">project performance, successes and common issues </w:t>
      </w:r>
      <w:r w:rsidR="00ED1409">
        <w:t xml:space="preserve">from </w:t>
      </w:r>
      <w:r w:rsidR="00B94426">
        <w:t>2017</w:t>
      </w:r>
      <w:r w:rsidR="00ED1409">
        <w:t xml:space="preserve"> to</w:t>
      </w:r>
      <w:r w:rsidR="00E35AE3">
        <w:t xml:space="preserve"> </w:t>
      </w:r>
      <w:r w:rsidR="00B94426">
        <w:t>2021.</w:t>
      </w:r>
      <w:r w:rsidR="00E35AE3">
        <w:t xml:space="preserve"> </w:t>
      </w:r>
    </w:p>
    <w:p w14:paraId="21FE83C7" w14:textId="243D55B0" w:rsidR="00E97454" w:rsidRDefault="00E97454" w:rsidP="00E97454">
      <w:pPr>
        <w:pStyle w:val="ParagraphText-unnumbered"/>
      </w:pPr>
      <w:r>
        <w:t>Overall, the Fleming Fund established close partnerships with grantees and successfully communicated achievements to key AMR stakeholders</w:t>
      </w:r>
      <w:r w:rsidR="006917B0">
        <w:t xml:space="preserve"> in 2021</w:t>
      </w:r>
      <w:r>
        <w:t xml:space="preserve">. The positive relationship with WHO Substandard and Falsified (SF) medical products team allowed grantees to collaborate with other Fleming Fund activities (CwPAMS, GRAM, FAO) on cross-cutting areas. This effectively embedded SF medicines surveillance in several Fleming Fund projects. Other partners have successfully adapted communications depending on the audience. The GRAM project successfully published their paper on antibacterial resistance, disseminating vital findings to a wide range of stakeholders, from global decision makers such as the G7, to academics and country-level influencers. </w:t>
      </w:r>
    </w:p>
    <w:p w14:paraId="34FED2CA" w14:textId="1D3937D9" w:rsidR="00E97454" w:rsidRDefault="00E97454" w:rsidP="00E97454">
      <w:pPr>
        <w:pStyle w:val="ParagraphText-unnumbered"/>
      </w:pPr>
      <w:r>
        <w:lastRenderedPageBreak/>
        <w:t xml:space="preserve">The Commonwealth Partnerships for Antimicrobial Stewardship grant (CwPAMS) also ran a campaign for World Antimicrobial Awareness Week. Individuals could participate in </w:t>
      </w:r>
      <w:r w:rsidR="00604011">
        <w:t xml:space="preserve">8 </w:t>
      </w:r>
      <w:r>
        <w:t>different activities throughout the week to promote good practice in antimicrobial stewardship, catering for a variety of audiences.</w:t>
      </w:r>
      <w:r w:rsidR="00F7290F" w:rsidRPr="00F7290F">
        <w:t xml:space="preserve"> </w:t>
      </w:r>
      <w:r w:rsidR="00F7290F">
        <w:t xml:space="preserve">Secondees have helped to synergise </w:t>
      </w:r>
      <w:r w:rsidR="00F7290F" w:rsidRPr="00B557DD">
        <w:t xml:space="preserve">the Fleming Fund and </w:t>
      </w:r>
      <w:r w:rsidR="00F7290F">
        <w:t>T</w:t>
      </w:r>
      <w:r w:rsidR="00F7290F" w:rsidRPr="00B557DD">
        <w:t>ripartite organisations' One Health approach for tackling AMR</w:t>
      </w:r>
      <w:r w:rsidR="00F7290F">
        <w:t xml:space="preserve"> by helping to develop key strategies, frameworks and proposals</w:t>
      </w:r>
      <w:r w:rsidR="00F7290F" w:rsidRPr="00B557DD">
        <w:t>.</w:t>
      </w:r>
    </w:p>
    <w:p w14:paraId="6D0732E4" w14:textId="04C57ABD" w:rsidR="00BA30D7" w:rsidRDefault="00E97454" w:rsidP="00012815">
      <w:pPr>
        <w:pStyle w:val="ParagraphText-unnumbered"/>
      </w:pPr>
      <w:r>
        <w:t xml:space="preserve">The Mott MacDonald communications lead role was vacant for much of 2021, and the Fleming Fund DHSC communications lead role was vacant for Q4 of 2021, reducing communications capability. This contributed to the delay of the phase 1 report by a number of months, though this was finalised in </w:t>
      </w:r>
      <w:r w:rsidR="00520012">
        <w:t xml:space="preserve">early </w:t>
      </w:r>
      <w:r>
        <w:t xml:space="preserve">2022. As both communications leads have been recruited in 2022, </w:t>
      </w:r>
      <w:r w:rsidR="006E0FA1">
        <w:t>they will be able</w:t>
      </w:r>
      <w:r>
        <w:t xml:space="preserve"> to help grantees identify their target audiences. This w</w:t>
      </w:r>
      <w:r w:rsidR="004F4F8F">
        <w:t>ill</w:t>
      </w:r>
      <w:r>
        <w:t xml:space="preserve"> be </w:t>
      </w:r>
      <w:r w:rsidR="004F4F8F">
        <w:t>particularly important</w:t>
      </w:r>
      <w:r>
        <w:t xml:space="preserve"> for grants such as the WHO SF team, who </w:t>
      </w:r>
      <w:r w:rsidR="00070625">
        <w:t xml:space="preserve">have </w:t>
      </w:r>
      <w:r>
        <w:t>struggled to gain traction with their studies and came up against in-country barriers</w:t>
      </w:r>
      <w:r w:rsidR="00026CCD">
        <w:t xml:space="preserve"> </w:t>
      </w:r>
      <w:r w:rsidR="00070625">
        <w:t xml:space="preserve">including </w:t>
      </w:r>
      <w:r w:rsidR="00026CCD">
        <w:t xml:space="preserve">difficulty </w:t>
      </w:r>
      <w:r w:rsidR="00070625">
        <w:t>in</w:t>
      </w:r>
      <w:r w:rsidR="00026CCD">
        <w:t xml:space="preserve"> coordinating </w:t>
      </w:r>
      <w:r w:rsidR="00F62819">
        <w:t xml:space="preserve">policy and </w:t>
      </w:r>
      <w:r w:rsidR="006E0FA1">
        <w:t>legal</w:t>
      </w:r>
      <w:r w:rsidR="00F62819">
        <w:t xml:space="preserve"> operations at country level as the</w:t>
      </w:r>
      <w:r w:rsidR="00942678">
        <w:t xml:space="preserve"> in-country customs, policy and healthcare </w:t>
      </w:r>
      <w:r w:rsidR="00A63238">
        <w:t xml:space="preserve">teams/departments/ministries </w:t>
      </w:r>
      <w:r w:rsidR="00942678">
        <w:t>had not shared information</w:t>
      </w:r>
      <w:r w:rsidR="000847CD">
        <w:t>.</w:t>
      </w:r>
    </w:p>
    <w:p w14:paraId="1CA12EF8" w14:textId="138D6DFC" w:rsidR="00E97454" w:rsidRDefault="00E97454" w:rsidP="00E97454">
      <w:pPr>
        <w:pStyle w:val="Boxedtext-greenborder"/>
      </w:pPr>
      <w:r w:rsidRPr="00E97454">
        <w:rPr>
          <w:rStyle w:val="Bold"/>
        </w:rPr>
        <w:t>Recommendation</w:t>
      </w:r>
      <w:r w:rsidR="009F4C66">
        <w:rPr>
          <w:rStyle w:val="Bold"/>
        </w:rPr>
        <w:t xml:space="preserve"> 3</w:t>
      </w:r>
      <w:r>
        <w:t xml:space="preserve">: </w:t>
      </w:r>
      <w:r w:rsidR="00D072AA" w:rsidRPr="00D072AA">
        <w:t>Work jointly with the DHSC Global AMR team to revise the Fleming Fund coordination and engagement plan and communications strategy to target stakeholders with the ability to use AMR/C/U data to influence local, regional and global decisions on AMR</w:t>
      </w:r>
      <w:r>
        <w:t>.</w:t>
      </w:r>
    </w:p>
    <w:p w14:paraId="3A4AD382" w14:textId="77777777" w:rsidR="005C5C51" w:rsidRDefault="008B59FE" w:rsidP="008B59FE">
      <w:pPr>
        <w:pStyle w:val="ParagraphText-unnumbered"/>
      </w:pPr>
      <w:r>
        <w:t>T</w:t>
      </w:r>
      <w:r w:rsidRPr="008B59FE">
        <w:t xml:space="preserve">he inclusion of new funders for the Antimicrobial Resistance Multi-Partner Trust Fund (AMR - MPTF), including GIZ (the German Corporation for International Cooperation), is another step towards ensuring AMR surveillance continues to be sustainably funded. </w:t>
      </w:r>
    </w:p>
    <w:p w14:paraId="629521E9" w14:textId="2F5DBDE5" w:rsidR="00B557DD" w:rsidRDefault="008B59FE" w:rsidP="008B59FE">
      <w:pPr>
        <w:pStyle w:val="ParagraphText-unnumbered"/>
      </w:pPr>
      <w:r w:rsidRPr="008B59FE">
        <w:t>The Fleming Fund should continue to build partnerships with other institutions that have strong relationships with countries interested in supporting improved AMR surveillance capacity.</w:t>
      </w:r>
    </w:p>
    <w:p w14:paraId="2ADB1985" w14:textId="7BC95C01" w:rsidR="00C442DE" w:rsidRPr="00B557DD" w:rsidRDefault="00B557DD" w:rsidP="0083248C">
      <w:pPr>
        <w:pStyle w:val="ParagraphText-unnumbered"/>
      </w:pPr>
      <w:r w:rsidRPr="00B557DD">
        <w:t>There has been a real push for capacity building, increasing the long-term sustainability of Fleming Fund activities</w:t>
      </w:r>
      <w:r w:rsidR="00F3536D">
        <w:t xml:space="preserve"> during 2021</w:t>
      </w:r>
      <w:r w:rsidRPr="00B557DD">
        <w:t>. The</w:t>
      </w:r>
      <w:r>
        <w:t xml:space="preserve"> UK</w:t>
      </w:r>
      <w:r w:rsidRPr="00B557DD">
        <w:t xml:space="preserve"> FAO Reference Centre </w:t>
      </w:r>
      <w:r>
        <w:t>for AMR published</w:t>
      </w:r>
      <w:r w:rsidRPr="00B557DD">
        <w:t xml:space="preserve"> a joint E-learning course on </w:t>
      </w:r>
      <w:hyperlink r:id="rId36">
        <w:r>
          <w:t>understanding antimicrobial resistance in food and agriculture.</w:t>
        </w:r>
      </w:hyperlink>
      <w:r w:rsidRPr="00B557DD">
        <w:t xml:space="preserve"> </w:t>
      </w:r>
      <w:r w:rsidR="001D31E4">
        <w:t>R</w:t>
      </w:r>
      <w:r w:rsidRPr="00B557DD">
        <w:t xml:space="preserve">egional and country grants have focused on delivering training and upskilling local workforces. </w:t>
      </w:r>
    </w:p>
    <w:p w14:paraId="4D1F1584" w14:textId="282272B1" w:rsidR="00E108A6" w:rsidRDefault="00C442DE" w:rsidP="00B557DD">
      <w:pPr>
        <w:pStyle w:val="ParagraphText-unnumbered"/>
      </w:pPr>
      <w:r w:rsidRPr="00B557DD">
        <w:rPr>
          <w:noProof/>
        </w:rPr>
        <w:lastRenderedPageBreak/>
        <mc:AlternateContent>
          <mc:Choice Requires="wps">
            <w:drawing>
              <wp:anchor distT="45720" distB="45720" distL="114300" distR="114300" simplePos="0" relativeHeight="251658242" behindDoc="0" locked="0" layoutInCell="1" allowOverlap="1" wp14:anchorId="7D4DBA2E" wp14:editId="18026808">
                <wp:simplePos x="0" y="0"/>
                <wp:positionH relativeFrom="margin">
                  <wp:posOffset>164681</wp:posOffset>
                </wp:positionH>
                <wp:positionV relativeFrom="paragraph">
                  <wp:posOffset>264</wp:posOffset>
                </wp:positionV>
                <wp:extent cx="5534025" cy="3947795"/>
                <wp:effectExtent l="0" t="0" r="28575" b="1460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3947795"/>
                        </a:xfrm>
                        <a:prstGeom prst="rect">
                          <a:avLst/>
                        </a:prstGeom>
                        <a:solidFill>
                          <a:srgbClr val="616265">
                            <a:lumMod val="20000"/>
                            <a:lumOff val="80000"/>
                          </a:srgbClr>
                        </a:solidFill>
                        <a:ln w="9525">
                          <a:solidFill>
                            <a:srgbClr val="000000"/>
                          </a:solidFill>
                          <a:miter lim="800000"/>
                          <a:headEnd/>
                          <a:tailEnd/>
                        </a:ln>
                      </wps:spPr>
                      <wps:txbx>
                        <w:txbxContent>
                          <w:p w14:paraId="30A658D1" w14:textId="77777777" w:rsidR="004519E0" w:rsidRDefault="004519E0" w:rsidP="00B557DD">
                            <w:pPr>
                              <w:pStyle w:val="Heading4"/>
                            </w:pPr>
                            <w:r>
                              <w:t>Case Study: Capacity Building in Timor Leste</w:t>
                            </w:r>
                          </w:p>
                          <w:p w14:paraId="78AA056A" w14:textId="77777777" w:rsidR="0065791B" w:rsidRDefault="000D3DBC" w:rsidP="00F11153">
                            <w:pPr>
                              <w:pStyle w:val="ParagraphText-unnumbered"/>
                            </w:pPr>
                            <w:r>
                              <w:t xml:space="preserve">Fleming Fund investment in Timor-Leste, through Menzies School of Health Research, has </w:t>
                            </w:r>
                            <w:r w:rsidR="00745A46">
                              <w:t>strengthened laboratory capacity</w:t>
                            </w:r>
                            <w:r w:rsidR="0086452A">
                              <w:t xml:space="preserve"> for the diagnosis of bacterial infections and AMR</w:t>
                            </w:r>
                            <w:r w:rsidR="00745A46">
                              <w:t>.</w:t>
                            </w:r>
                          </w:p>
                          <w:p w14:paraId="2D9EBC41" w14:textId="77777777" w:rsidR="00D96D9A" w:rsidRDefault="0065791B" w:rsidP="00F11153">
                            <w:pPr>
                              <w:pStyle w:val="ParagraphText-unnumbered"/>
                            </w:pPr>
                            <w:r>
                              <w:t>In</w:t>
                            </w:r>
                            <w:r w:rsidR="00566B5B">
                              <w:t xml:space="preserve"> the national hospital of Timor-Leste (Hospital Nacional Guido Valadares</w:t>
                            </w:r>
                            <w:r>
                              <w:t>)</w:t>
                            </w:r>
                            <w:r w:rsidR="00445902">
                              <w:t>, t</w:t>
                            </w:r>
                            <w:r w:rsidR="00566B5B">
                              <w:t xml:space="preserve">he establishment of a consistent blood culture service </w:t>
                            </w:r>
                            <w:r w:rsidR="00AD55D6">
                              <w:t xml:space="preserve">has </w:t>
                            </w:r>
                            <w:r w:rsidR="00445902">
                              <w:t xml:space="preserve">dramatically changed the way </w:t>
                            </w:r>
                            <w:r w:rsidR="00BA4B33">
                              <w:t xml:space="preserve">babies can be treated, providing </w:t>
                            </w:r>
                            <w:r w:rsidR="00352BCD">
                              <w:t>information</w:t>
                            </w:r>
                            <w:r w:rsidR="00BA4B33">
                              <w:t xml:space="preserve"> to </w:t>
                            </w:r>
                            <w:r w:rsidR="00352BCD">
                              <w:t>clinicians</w:t>
                            </w:r>
                            <w:r w:rsidR="00BA4B33">
                              <w:t xml:space="preserve"> from which they can make informed decisions</w:t>
                            </w:r>
                            <w:r w:rsidR="00AD22AD">
                              <w:t xml:space="preserve"> and use targeted antibiotics.</w:t>
                            </w:r>
                            <w:r>
                              <w:t xml:space="preserve"> These babies now have a very good chance of surviving what would otherwise be a deadly infection.</w:t>
                            </w:r>
                          </w:p>
                          <w:p w14:paraId="3DA8D01F" w14:textId="77777777" w:rsidR="00F11153" w:rsidRPr="00F11153" w:rsidRDefault="00F34CBA" w:rsidP="003C7E22">
                            <w:pPr>
                              <w:pStyle w:val="ParagraphText-unnumbered"/>
                            </w:pPr>
                            <w:r>
                              <w:t xml:space="preserve">Increased capacity has also allowed laboratories to </w:t>
                            </w:r>
                            <w:r w:rsidR="00472092">
                              <w:t xml:space="preserve">generate data, which is shared with </w:t>
                            </w:r>
                            <w:r w:rsidR="00E469A2">
                              <w:t xml:space="preserve">clinicians and public health officials </w:t>
                            </w:r>
                            <w:r w:rsidR="0065791B">
                              <w:t>to provide</w:t>
                            </w:r>
                            <w:r w:rsidR="00F76784">
                              <w:t xml:space="preserve"> a clear overview of the rates of AMR for different bacteria in Timor-Leste.</w:t>
                            </w:r>
                            <w:r w:rsidR="006475EC">
                              <w:t xml:space="preserve"> Th</w:t>
                            </w:r>
                            <w:r w:rsidR="00A764D7">
                              <w:t>ese data</w:t>
                            </w:r>
                            <w:r w:rsidR="00A95256">
                              <w:t xml:space="preserve"> are now being used to develop </w:t>
                            </w:r>
                            <w:r w:rsidR="003555BA">
                              <w:t xml:space="preserve">national antibiotic guidelines, which will recommend antibiotic treatment for patients </w:t>
                            </w:r>
                            <w:r w:rsidR="003952F4">
                              <w:t>based on the local epidemiology and known AMR rates</w:t>
                            </w:r>
                            <w:r w:rsidR="002503EE">
                              <w:t>.</w:t>
                            </w:r>
                          </w:p>
                          <w:p w14:paraId="10450C2F" w14:textId="77777777" w:rsidR="004519E0" w:rsidRPr="00174489" w:rsidRDefault="004519E0" w:rsidP="00B557DD">
                            <w:pPr>
                              <w:pStyle w:val="ParagraphText-unnumbered"/>
                            </w:pPr>
                            <w:r>
                              <w:t>[</w:t>
                            </w:r>
                            <w:r w:rsidRPr="00174489">
                              <w:t>This is a template for you to include examples of your work from the last year and an opportunity to show impact. This should be short (up to 250 words), outcome focussed, and ideally in the STAR (situation, task, action, result) format. The below questions may help to guide your thinking:</w:t>
                            </w:r>
                          </w:p>
                          <w:p w14:paraId="43F10F29" w14:textId="77777777" w:rsidR="004519E0" w:rsidRPr="00174489" w:rsidRDefault="004519E0" w:rsidP="00B557DD">
                            <w:pPr>
                              <w:pStyle w:val="ParagraphText-unnumbered"/>
                            </w:pPr>
                            <w:r w:rsidRPr="00174489">
                              <w:t xml:space="preserve">What are you working on? </w:t>
                            </w:r>
                          </w:p>
                          <w:p w14:paraId="11DF788E" w14:textId="77777777" w:rsidR="004519E0" w:rsidRPr="00174489" w:rsidRDefault="004519E0" w:rsidP="00B557DD">
                            <w:pPr>
                              <w:pStyle w:val="ParagraphText-unnumbered"/>
                            </w:pPr>
                            <w:r w:rsidRPr="00174489">
                              <w:t xml:space="preserve">Why is it important? </w:t>
                            </w:r>
                          </w:p>
                          <w:p w14:paraId="45209F33" w14:textId="77777777" w:rsidR="004519E0" w:rsidRPr="00174489" w:rsidRDefault="004519E0" w:rsidP="00B557DD">
                            <w:pPr>
                              <w:pStyle w:val="ParagraphText-unnumbered"/>
                            </w:pPr>
                            <w:r w:rsidRPr="00174489">
                              <w:t xml:space="preserve">What is the potential outcome/ impact? </w:t>
                            </w:r>
                          </w:p>
                          <w:p w14:paraId="0F884989" w14:textId="77777777" w:rsidR="004519E0" w:rsidRPr="00174489" w:rsidRDefault="004519E0" w:rsidP="00B557DD">
                            <w:pPr>
                              <w:pStyle w:val="ParagraphText-unnumbered"/>
                            </w:pPr>
                            <w:r w:rsidRPr="00174489">
                              <w:t xml:space="preserve">How will your work benefit people in the low- and middle-income countries (LMICs)? </w:t>
                            </w:r>
                          </w:p>
                          <w:p w14:paraId="7A79D6B8" w14:textId="77777777" w:rsidR="004519E0" w:rsidRPr="00380D75" w:rsidRDefault="004519E0" w:rsidP="00B557DD">
                            <w:pPr>
                              <w:pStyle w:val="ParagraphText-unnumbered"/>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DBA2E" id="_x0000_s1027" type="#_x0000_t202" style="position:absolute;margin-left:12.95pt;margin-top:0;width:435.75pt;height:310.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" fillcolor="#dfdfe0">
                <v:textbox>
                  <w:txbxContent>
                    <w:p w14:paraId="30A658D1" w14:textId="77777777" w:rsidR="004519E0" w:rsidRDefault="004519E0" w:rsidP="00B557DD">
                      <w:pPr>
                        <w:pStyle w:val="Heading4"/>
                      </w:pPr>
                      <w:r>
                        <w:t>Case Study: Capacity Building in Timor Leste</w:t>
                      </w:r>
                    </w:p>
                    <w:p w14:paraId="78AA056A" w14:textId="77777777" w:rsidR="0065791B" w:rsidRDefault="000D3DBC" w:rsidP="00F11153">
                      <w:pPr>
                        <w:pStyle w:val="ParagraphText-unnumbered"/>
                      </w:pPr>
                      <w:r>
                        <w:t xml:space="preserve">Fleming Fund investment in Timor-Leste, through Menzies School of Health Research, has </w:t>
                      </w:r>
                      <w:r w:rsidR="00745A46">
                        <w:t>strengthened laboratory capacity</w:t>
                      </w:r>
                      <w:r w:rsidR="0086452A">
                        <w:t xml:space="preserve"> for the diagnosis of bacterial infections and AMR</w:t>
                      </w:r>
                      <w:r w:rsidR="00745A46">
                        <w:t>.</w:t>
                      </w:r>
                    </w:p>
                    <w:p w14:paraId="2D9EBC41" w14:textId="77777777" w:rsidR="00D96D9A" w:rsidRDefault="0065791B" w:rsidP="00F11153">
                      <w:pPr>
                        <w:pStyle w:val="ParagraphText-unnumbered"/>
                      </w:pPr>
                      <w:r>
                        <w:t>In</w:t>
                      </w:r>
                      <w:r w:rsidR="00566B5B">
                        <w:t xml:space="preserve"> the national hospital of Timor-Leste (Hospital Nacional Guido Valadares</w:t>
                      </w:r>
                      <w:r>
                        <w:t>)</w:t>
                      </w:r>
                      <w:r w:rsidR="00445902">
                        <w:t>, t</w:t>
                      </w:r>
                      <w:r w:rsidR="00566B5B">
                        <w:t xml:space="preserve">he establishment of a consistent blood culture service </w:t>
                      </w:r>
                      <w:r w:rsidR="00AD55D6">
                        <w:t xml:space="preserve">has </w:t>
                      </w:r>
                      <w:r w:rsidR="00445902">
                        <w:t xml:space="preserve">dramatically changed the way </w:t>
                      </w:r>
                      <w:r w:rsidR="00BA4B33">
                        <w:t xml:space="preserve">babies can be treated, providing </w:t>
                      </w:r>
                      <w:r w:rsidR="00352BCD">
                        <w:t>information</w:t>
                      </w:r>
                      <w:r w:rsidR="00BA4B33">
                        <w:t xml:space="preserve"> to </w:t>
                      </w:r>
                      <w:r w:rsidR="00352BCD">
                        <w:t>clinicians</w:t>
                      </w:r>
                      <w:r w:rsidR="00BA4B33">
                        <w:t xml:space="preserve"> from which they can make informed decisions</w:t>
                      </w:r>
                      <w:r w:rsidR="00AD22AD">
                        <w:t xml:space="preserve"> and use targeted antibiotics.</w:t>
                      </w:r>
                      <w:r>
                        <w:t xml:space="preserve"> These babies now have a very good chance of surviving what would otherwise be a deadly infection.</w:t>
                      </w:r>
                    </w:p>
                    <w:p w14:paraId="3DA8D01F" w14:textId="77777777" w:rsidR="00F11153" w:rsidRPr="00F11153" w:rsidRDefault="00F34CBA" w:rsidP="003C7E22">
                      <w:pPr>
                        <w:pStyle w:val="ParagraphText-unnumbered"/>
                      </w:pPr>
                      <w:r>
                        <w:t xml:space="preserve">Increased capacity has also allowed laboratories to </w:t>
                      </w:r>
                      <w:r w:rsidR="00472092">
                        <w:t xml:space="preserve">generate data, which is shared with </w:t>
                      </w:r>
                      <w:r w:rsidR="00E469A2">
                        <w:t xml:space="preserve">clinicians and public health officials </w:t>
                      </w:r>
                      <w:r w:rsidR="0065791B">
                        <w:t>to provide</w:t>
                      </w:r>
                      <w:r w:rsidR="00F76784">
                        <w:t xml:space="preserve"> a clear overview of the rates of AMR for different bacteria in Timor-Leste.</w:t>
                      </w:r>
                      <w:r w:rsidR="006475EC">
                        <w:t xml:space="preserve"> Th</w:t>
                      </w:r>
                      <w:r w:rsidR="00A764D7">
                        <w:t>ese data</w:t>
                      </w:r>
                      <w:r w:rsidR="00A95256">
                        <w:t xml:space="preserve"> are now being used to develop </w:t>
                      </w:r>
                      <w:r w:rsidR="003555BA">
                        <w:t xml:space="preserve">national antibiotic guidelines, which will recommend antibiotic treatment for patients </w:t>
                      </w:r>
                      <w:r w:rsidR="003952F4">
                        <w:t>based on the local epidemiology and known AMR rates</w:t>
                      </w:r>
                      <w:r w:rsidR="002503EE">
                        <w:t>.</w:t>
                      </w:r>
                    </w:p>
                    <w:p w14:paraId="10450C2F" w14:textId="77777777" w:rsidR="004519E0" w:rsidRPr="00174489" w:rsidRDefault="004519E0" w:rsidP="00B557DD">
                      <w:pPr>
                        <w:pStyle w:val="ParagraphText-unnumbered"/>
                      </w:pPr>
                      <w:r>
                        <w:t>[</w:t>
                      </w:r>
                      <w:r w:rsidRPr="00174489">
                        <w:t>This is a template for you to include examples of your work from the last year and an opportunity to show impact. This should be short (up to 250 words), outcome focussed, and ideally in the STAR (situation, task, action, result) format. The below questions may help to guide your thinking:</w:t>
                      </w:r>
                    </w:p>
                    <w:p w14:paraId="43F10F29" w14:textId="77777777" w:rsidR="004519E0" w:rsidRPr="00174489" w:rsidRDefault="004519E0" w:rsidP="00B557DD">
                      <w:pPr>
                        <w:pStyle w:val="ParagraphText-unnumbered"/>
                      </w:pPr>
                      <w:r w:rsidRPr="00174489">
                        <w:t xml:space="preserve">What are you working on? </w:t>
                      </w:r>
                    </w:p>
                    <w:p w14:paraId="11DF788E" w14:textId="77777777" w:rsidR="004519E0" w:rsidRPr="00174489" w:rsidRDefault="004519E0" w:rsidP="00B557DD">
                      <w:pPr>
                        <w:pStyle w:val="ParagraphText-unnumbered"/>
                      </w:pPr>
                      <w:r w:rsidRPr="00174489">
                        <w:t xml:space="preserve">Why is it important? </w:t>
                      </w:r>
                    </w:p>
                    <w:p w14:paraId="45209F33" w14:textId="77777777" w:rsidR="004519E0" w:rsidRPr="00174489" w:rsidRDefault="004519E0" w:rsidP="00B557DD">
                      <w:pPr>
                        <w:pStyle w:val="ParagraphText-unnumbered"/>
                      </w:pPr>
                      <w:r w:rsidRPr="00174489">
                        <w:t xml:space="preserve">What is the potential outcome/ impact? </w:t>
                      </w:r>
                    </w:p>
                    <w:p w14:paraId="0F884989" w14:textId="77777777" w:rsidR="004519E0" w:rsidRPr="00174489" w:rsidRDefault="004519E0" w:rsidP="00B557DD">
                      <w:pPr>
                        <w:pStyle w:val="ParagraphText-unnumbered"/>
                      </w:pPr>
                      <w:r w:rsidRPr="00174489">
                        <w:t xml:space="preserve">How will your work benefit people in the low- and middle-income countries (LMICs)? </w:t>
                      </w:r>
                    </w:p>
                    <w:p w14:paraId="7A79D6B8" w14:textId="77777777" w:rsidR="004519E0" w:rsidRPr="00380D75" w:rsidRDefault="004519E0" w:rsidP="00B557DD">
                      <w:pPr>
                        <w:pStyle w:val="ParagraphText-unnumbered"/>
                      </w:pPr>
                      <w:r>
                        <w:t>]</w:t>
                      </w:r>
                    </w:p>
                  </w:txbxContent>
                </v:textbox>
                <w10:wrap type="topAndBottom" anchorx="margin"/>
              </v:shape>
            </w:pict>
          </mc:Fallback>
        </mc:AlternateContent>
      </w:r>
      <w:r w:rsidR="00B557DD" w:rsidRPr="00B557DD">
        <w:t xml:space="preserve">As expected, COVID-19 </w:t>
      </w:r>
      <w:r w:rsidR="00DD56D4">
        <w:t xml:space="preserve">and various zoonotic disease outbreaks </w:t>
      </w:r>
      <w:r w:rsidR="00B557DD" w:rsidRPr="00B557DD">
        <w:t xml:space="preserve">continue to impact </w:t>
      </w:r>
      <w:r w:rsidR="00C655A4">
        <w:t>activity</w:t>
      </w:r>
      <w:r w:rsidR="00B557DD" w:rsidRPr="00B557DD">
        <w:t xml:space="preserve"> </w:t>
      </w:r>
      <w:r w:rsidR="00C655A4">
        <w:t xml:space="preserve">that </w:t>
      </w:r>
      <w:r w:rsidR="00B557DD" w:rsidRPr="00B557DD">
        <w:t>rel</w:t>
      </w:r>
      <w:r w:rsidR="00C655A4">
        <w:t>ies</w:t>
      </w:r>
      <w:r w:rsidR="00B557DD" w:rsidRPr="00B557DD">
        <w:t xml:space="preserve"> on face-to-face engagement, such as </w:t>
      </w:r>
      <w:r w:rsidR="003C42CC">
        <w:t xml:space="preserve">the delivery and installation of laboratory </w:t>
      </w:r>
      <w:r w:rsidR="00B557DD" w:rsidRPr="00B557DD">
        <w:t>equipment</w:t>
      </w:r>
      <w:r w:rsidR="003C42CC">
        <w:t>,</w:t>
      </w:r>
      <w:r w:rsidR="00B557DD" w:rsidRPr="00B557DD">
        <w:t xml:space="preserve"> </w:t>
      </w:r>
      <w:r w:rsidR="003C42CC">
        <w:t>and</w:t>
      </w:r>
      <w:r w:rsidR="00B557DD" w:rsidRPr="00B557DD">
        <w:t xml:space="preserve"> the fellowship scheme.</w:t>
      </w:r>
      <w:r w:rsidR="00814F84">
        <w:t xml:space="preserve"> </w:t>
      </w:r>
      <w:r w:rsidR="00EE59C1">
        <w:t xml:space="preserve">Fellows have </w:t>
      </w:r>
      <w:r w:rsidR="00EC2942">
        <w:t>been drawn into frontline</w:t>
      </w:r>
      <w:r w:rsidR="00E03DA0">
        <w:t xml:space="preserve"> roles</w:t>
      </w:r>
      <w:r w:rsidR="00B557DD" w:rsidRPr="00B557DD">
        <w:t xml:space="preserve"> </w:t>
      </w:r>
      <w:r w:rsidR="000847CD">
        <w:t>that</w:t>
      </w:r>
      <w:r w:rsidR="00B557DD" w:rsidRPr="00B557DD">
        <w:t xml:space="preserve"> </w:t>
      </w:r>
      <w:r w:rsidR="007151FC">
        <w:t>reduc</w:t>
      </w:r>
      <w:r w:rsidR="000847CD">
        <w:t>ed</w:t>
      </w:r>
      <w:r w:rsidR="007151FC">
        <w:t xml:space="preserve"> the time they have to work on </w:t>
      </w:r>
      <w:r w:rsidR="006211CD">
        <w:t>fellowship activi</w:t>
      </w:r>
      <w:r w:rsidR="00112457">
        <w:t>ties</w:t>
      </w:r>
      <w:r>
        <w:t>.</w:t>
      </w:r>
    </w:p>
    <w:p w14:paraId="31BDB500" w14:textId="52E8D907" w:rsidR="00B557DD" w:rsidRDefault="00112457" w:rsidP="00B557DD">
      <w:pPr>
        <w:pStyle w:val="ParagraphText-unnumbered"/>
      </w:pPr>
      <w:r>
        <w:t>However</w:t>
      </w:r>
      <w:r w:rsidR="00E87057">
        <w:t>,</w:t>
      </w:r>
      <w:r>
        <w:t xml:space="preserve"> the flex to remote </w:t>
      </w:r>
      <w:r w:rsidR="004B225A">
        <w:t>training and mentoring</w:t>
      </w:r>
      <w:r>
        <w:t xml:space="preserve"> has </w:t>
      </w:r>
      <w:r w:rsidR="00DC40A1">
        <w:t xml:space="preserve">enabled </w:t>
      </w:r>
      <w:r w:rsidR="00F80DFB">
        <w:t>the scheme to continue</w:t>
      </w:r>
      <w:r w:rsidR="009B606B">
        <w:t xml:space="preserve"> in most </w:t>
      </w:r>
      <w:r w:rsidR="00676123">
        <w:t>countries</w:t>
      </w:r>
      <w:r w:rsidR="00F80DFB">
        <w:t>.</w:t>
      </w:r>
      <w:r w:rsidR="00B557DD" w:rsidRPr="00B557DD">
        <w:t xml:space="preserve"> </w:t>
      </w:r>
      <w:r w:rsidR="000028A3">
        <w:t>Many p</w:t>
      </w:r>
      <w:r w:rsidR="00B557DD" w:rsidRPr="00B557DD">
        <w:t>artners have pivoted activities to continue work on AMR whilst contributing to the pandemic response, such as the regional grants' contribution to the discovery of the Omicron variant</w:t>
      </w:r>
      <w:r w:rsidR="00E03088">
        <w:t xml:space="preserve"> through </w:t>
      </w:r>
      <w:r w:rsidR="00216879">
        <w:t xml:space="preserve">the use of </w:t>
      </w:r>
      <w:r w:rsidR="00E03088">
        <w:t xml:space="preserve">whole genome </w:t>
      </w:r>
      <w:r w:rsidR="00216879">
        <w:t>sequencing</w:t>
      </w:r>
      <w:r w:rsidR="00B557DD" w:rsidRPr="00B557DD">
        <w:t xml:space="preserve">. Despite this, several partners found it difficult to adapt </w:t>
      </w:r>
      <w:r w:rsidR="00F47C32">
        <w:t xml:space="preserve">to </w:t>
      </w:r>
      <w:r w:rsidR="000028A3">
        <w:t xml:space="preserve">the impact of COVID-19 </w:t>
      </w:r>
      <w:r w:rsidR="00B557DD" w:rsidRPr="00B557DD">
        <w:t xml:space="preserve">and </w:t>
      </w:r>
      <w:r w:rsidR="000028A3">
        <w:t>to</w:t>
      </w:r>
      <w:r w:rsidR="00B557DD" w:rsidRPr="00B557DD">
        <w:t xml:space="preserve"> plan for future pandemics or other situations needing remote delivery.</w:t>
      </w:r>
      <w:r w:rsidR="00D76E79">
        <w:t xml:space="preserve"> This includes delivery of training and events, but also </w:t>
      </w:r>
      <w:r w:rsidR="001D1822">
        <w:t>trialling pilots in countries where partners do not currently have a presence.</w:t>
      </w:r>
    </w:p>
    <w:p w14:paraId="0896C459" w14:textId="0A70D5B0" w:rsidR="00EA47FA" w:rsidRPr="009B047D" w:rsidRDefault="00CF4D14" w:rsidP="009B047D">
      <w:pPr>
        <w:pStyle w:val="Boxedtext-greenborder"/>
      </w:pPr>
      <w:r w:rsidRPr="008B59FE">
        <w:rPr>
          <w:rStyle w:val="Bold"/>
        </w:rPr>
        <w:t>R</w:t>
      </w:r>
      <w:r w:rsidR="0007765B" w:rsidRPr="008B59FE">
        <w:rPr>
          <w:rStyle w:val="Bold"/>
        </w:rPr>
        <w:t>e</w:t>
      </w:r>
      <w:r w:rsidRPr="008B59FE">
        <w:rPr>
          <w:rStyle w:val="Bold"/>
        </w:rPr>
        <w:t>commendation</w:t>
      </w:r>
      <w:r w:rsidR="009F4C66">
        <w:rPr>
          <w:rStyle w:val="Bold"/>
        </w:rPr>
        <w:t xml:space="preserve"> 4</w:t>
      </w:r>
      <w:r w:rsidR="0007765B">
        <w:t xml:space="preserve">: </w:t>
      </w:r>
      <w:r w:rsidR="0091745D" w:rsidRPr="0091745D">
        <w:t>Work with the Fleming Fund Independent Evaluator to review the impact of remote delivery across the Fleming Fund. Ensure lessons and good practice are incorporated into phase 2 proposals and review progress</w:t>
      </w:r>
      <w:r w:rsidR="0091745D">
        <w:t>.</w:t>
      </w:r>
    </w:p>
    <w:p w14:paraId="2F2A09EC" w14:textId="77777777" w:rsidR="005C5C51" w:rsidRDefault="005C5C51">
      <w:pPr>
        <w:rPr>
          <w:b/>
          <w:sz w:val="33"/>
        </w:rPr>
      </w:pPr>
      <w:r>
        <w:br w:type="page"/>
      </w:r>
    </w:p>
    <w:p w14:paraId="3114590D" w14:textId="63A0E97B" w:rsidR="00015CEE" w:rsidRDefault="008176BE" w:rsidP="00015CEE">
      <w:pPr>
        <w:pStyle w:val="Heading2"/>
      </w:pPr>
      <w:r>
        <w:lastRenderedPageBreak/>
        <w:t xml:space="preserve">5. </w:t>
      </w:r>
      <w:r w:rsidR="00015CEE">
        <w:t>Risk</w:t>
      </w:r>
    </w:p>
    <w:p w14:paraId="061BBD1B" w14:textId="6A533FAE" w:rsidR="00C410A8" w:rsidRPr="00C410A8" w:rsidRDefault="00C410A8" w:rsidP="000A1BA5">
      <w:pPr>
        <w:pStyle w:val="Bulletundernumberedlist"/>
        <w:numPr>
          <w:ilvl w:val="0"/>
          <w:numId w:val="0"/>
        </w:numPr>
      </w:pPr>
      <w:r w:rsidRPr="00C410A8">
        <w:rPr>
          <w:rStyle w:val="Bold"/>
        </w:rPr>
        <w:t>Overall risk rating</w:t>
      </w:r>
      <w:r>
        <w:rPr>
          <w:rStyle w:val="Bold"/>
        </w:rPr>
        <w:t xml:space="preserve">: </w:t>
      </w:r>
      <w:r w:rsidR="008F5FEA">
        <w:rPr>
          <w:rStyle w:val="Bold"/>
        </w:rPr>
        <w:t>Amber/Red</w:t>
      </w:r>
    </w:p>
    <w:p w14:paraId="70720C29" w14:textId="5A811DA8" w:rsidR="0086007A" w:rsidRDefault="0086007A" w:rsidP="00841705">
      <w:pPr>
        <w:pStyle w:val="ParagraphText-unnumbered"/>
        <w:rPr>
          <w:rStyle w:val="Bold"/>
        </w:rPr>
      </w:pPr>
      <w:r>
        <w:rPr>
          <w:rStyle w:val="Bold"/>
        </w:rPr>
        <w:t>Risk</w:t>
      </w:r>
      <w:r w:rsidR="00F91A50">
        <w:rPr>
          <w:rStyle w:val="Bold"/>
        </w:rPr>
        <w:t xml:space="preserve"> 1 </w:t>
      </w:r>
      <w:r>
        <w:rPr>
          <w:rStyle w:val="Bold"/>
        </w:rPr>
        <w:t xml:space="preserve">description: </w:t>
      </w:r>
      <w:r w:rsidR="00EE0D28" w:rsidRPr="00841705">
        <w:rPr>
          <w:rStyle w:val="Bold"/>
          <w:b w:val="0"/>
        </w:rPr>
        <w:t>COVID-19 overwhelms already weak health systems.</w:t>
      </w:r>
    </w:p>
    <w:p w14:paraId="561ED63B" w14:textId="73A33406" w:rsidR="0086007A" w:rsidRDefault="0086007A" w:rsidP="0063780E">
      <w:pPr>
        <w:pStyle w:val="ParagraphText-unnumbered"/>
        <w:rPr>
          <w:rStyle w:val="Bold"/>
        </w:rPr>
      </w:pPr>
      <w:r>
        <w:rPr>
          <w:rStyle w:val="Bold"/>
        </w:rPr>
        <w:t xml:space="preserve">Mitigation strategy: </w:t>
      </w:r>
      <w:r w:rsidR="00841705" w:rsidRPr="00841705">
        <w:rPr>
          <w:rStyle w:val="Bold"/>
          <w:b w:val="0"/>
        </w:rPr>
        <w:t>Fleming Fund work contributes to health system strengthening and supports pandemic preparedness in developing countries</w:t>
      </w:r>
      <w:r w:rsidR="00327523">
        <w:rPr>
          <w:rStyle w:val="Bold"/>
        </w:rPr>
        <w:t xml:space="preserve">, </w:t>
      </w:r>
      <w:r w:rsidR="00327523" w:rsidRPr="0063780E">
        <w:rPr>
          <w:rStyle w:val="Bold"/>
          <w:b w:val="0"/>
        </w:rPr>
        <w:t>including</w:t>
      </w:r>
      <w:r w:rsidR="00327523">
        <w:rPr>
          <w:rStyle w:val="Bold"/>
        </w:rPr>
        <w:t xml:space="preserve"> </w:t>
      </w:r>
      <w:r w:rsidR="00841705" w:rsidRPr="00841705">
        <w:rPr>
          <w:rStyle w:val="Bold"/>
          <w:b w:val="0"/>
        </w:rPr>
        <w:t xml:space="preserve">flexing to support COVID-19 activities whilst achieving AMR aims. </w:t>
      </w:r>
    </w:p>
    <w:p w14:paraId="387AEAB2" w14:textId="38F77105" w:rsidR="0086007A" w:rsidRPr="0086007A" w:rsidRDefault="0086007A" w:rsidP="0086007A">
      <w:pPr>
        <w:pStyle w:val="ParagraphText-unnumbered"/>
        <w:rPr>
          <w:rStyle w:val="Bold"/>
        </w:rPr>
      </w:pPr>
      <w:r>
        <w:rPr>
          <w:rStyle w:val="Bold"/>
        </w:rPr>
        <w:t xml:space="preserve">Residual risk rating: </w:t>
      </w:r>
      <w:r w:rsidR="003C2A04">
        <w:rPr>
          <w:rStyle w:val="Bold"/>
        </w:rPr>
        <w:t>Amber/</w:t>
      </w:r>
      <w:r w:rsidR="007E5DAA">
        <w:rPr>
          <w:rStyle w:val="Bold"/>
        </w:rPr>
        <w:t>Red</w:t>
      </w:r>
      <w:r w:rsidR="003C2A04">
        <w:rPr>
          <w:rStyle w:val="Bold"/>
        </w:rPr>
        <w:t xml:space="preserve"> </w:t>
      </w:r>
    </w:p>
    <w:p w14:paraId="2BABA208" w14:textId="519C45F9" w:rsidR="00E32CF0" w:rsidRPr="00E32CF0" w:rsidRDefault="00E32CF0" w:rsidP="00E32CF0">
      <w:pPr>
        <w:pStyle w:val="ParagraphText-unnumbered"/>
      </w:pPr>
      <w:r w:rsidRPr="00E32CF0">
        <w:rPr>
          <w:rStyle w:val="Bold"/>
        </w:rPr>
        <w:t xml:space="preserve">Risk </w:t>
      </w:r>
      <w:r w:rsidR="00F17E29">
        <w:rPr>
          <w:rStyle w:val="Bold"/>
        </w:rPr>
        <w:t xml:space="preserve">2 </w:t>
      </w:r>
      <w:r w:rsidRPr="00E32CF0">
        <w:rPr>
          <w:rStyle w:val="Bold"/>
        </w:rPr>
        <w:t>description</w:t>
      </w:r>
      <w:r w:rsidRPr="00E32CF0">
        <w:t xml:space="preserve">: </w:t>
      </w:r>
      <w:r w:rsidR="000352DE" w:rsidRPr="000352DE">
        <w:t>Fleming Fund country and regional investments in laboratory capacity, diagnosis and surveillance are not sustainable</w:t>
      </w:r>
      <w:r w:rsidR="000352DE">
        <w:t>.</w:t>
      </w:r>
    </w:p>
    <w:p w14:paraId="7273D117" w14:textId="085E3CFD" w:rsidR="00E32CF0" w:rsidRPr="00E32CF0" w:rsidRDefault="00E32CF0" w:rsidP="00E32CF0">
      <w:pPr>
        <w:pStyle w:val="ParagraphText-unnumbered"/>
      </w:pPr>
      <w:r w:rsidRPr="00E32CF0">
        <w:rPr>
          <w:rStyle w:val="Bold"/>
        </w:rPr>
        <w:t>Mitigation strategy:</w:t>
      </w:r>
      <w:r w:rsidRPr="00E32CF0">
        <w:t xml:space="preserve"> </w:t>
      </w:r>
      <w:r w:rsidR="00A350B6" w:rsidRPr="00A350B6">
        <w:t>The Fleming Fund has developed a strategy for sustainability</w:t>
      </w:r>
      <w:r w:rsidR="00347566">
        <w:t xml:space="preserve">, which has been refined for </w:t>
      </w:r>
      <w:r w:rsidR="00AC6BA2">
        <w:t>phase 2</w:t>
      </w:r>
      <w:r w:rsidR="00347566">
        <w:t xml:space="preserve"> to include </w:t>
      </w:r>
      <w:r w:rsidR="000E1159">
        <w:t xml:space="preserve">the development of individual </w:t>
      </w:r>
      <w:r w:rsidR="00347566">
        <w:t xml:space="preserve">country strategies, </w:t>
      </w:r>
      <w:r w:rsidR="000E1159">
        <w:t>exit planning and contextually specific objectives</w:t>
      </w:r>
      <w:r w:rsidR="00A350B6">
        <w:t>.</w:t>
      </w:r>
      <w:r w:rsidR="00A350B6" w:rsidRPr="00A350B6">
        <w:t xml:space="preserve"> The Management Agent </w:t>
      </w:r>
      <w:r w:rsidR="000E1159">
        <w:t xml:space="preserve">also </w:t>
      </w:r>
      <w:r w:rsidR="00A350B6" w:rsidRPr="00A350B6">
        <w:t>works with grantees to ensure country ownership of grants based on national priorities</w:t>
      </w:r>
      <w:r w:rsidR="000E1159">
        <w:t>.</w:t>
      </w:r>
    </w:p>
    <w:p w14:paraId="6029446F" w14:textId="21B9A75A" w:rsidR="00E32CF0" w:rsidRDefault="00E32CF0" w:rsidP="00E32CF0">
      <w:pPr>
        <w:pStyle w:val="ParagraphText-unnumbered"/>
      </w:pPr>
      <w:r w:rsidRPr="00E32CF0">
        <w:rPr>
          <w:rStyle w:val="Bold"/>
        </w:rPr>
        <w:t>Residual risk rating:</w:t>
      </w:r>
      <w:r w:rsidRPr="00E32CF0">
        <w:t xml:space="preserve"> </w:t>
      </w:r>
      <w:r w:rsidR="007E5DAA" w:rsidRPr="003C7E22">
        <w:rPr>
          <w:rStyle w:val="Bold"/>
        </w:rPr>
        <w:t>Amber/Red</w:t>
      </w:r>
      <w:r w:rsidR="007E5DAA">
        <w:t xml:space="preserve"> </w:t>
      </w:r>
    </w:p>
    <w:p w14:paraId="177645D0" w14:textId="1C5DE097" w:rsidR="00304BE4" w:rsidRPr="00304BE4" w:rsidRDefault="00304BE4" w:rsidP="00304BE4">
      <w:pPr>
        <w:pStyle w:val="ParagraphText-unnumbered"/>
      </w:pPr>
      <w:r w:rsidRPr="00304BE4">
        <w:rPr>
          <w:rStyle w:val="Bold"/>
        </w:rPr>
        <w:t>Risk</w:t>
      </w:r>
      <w:r w:rsidR="00F17E29">
        <w:rPr>
          <w:rStyle w:val="Bold"/>
        </w:rPr>
        <w:t xml:space="preserve"> 3</w:t>
      </w:r>
      <w:r w:rsidRPr="00304BE4">
        <w:rPr>
          <w:rStyle w:val="Bold"/>
        </w:rPr>
        <w:t xml:space="preserve"> description</w:t>
      </w:r>
      <w:r w:rsidRPr="00304BE4">
        <w:t xml:space="preserve">: </w:t>
      </w:r>
      <w:r w:rsidR="00F7136C" w:rsidRPr="00F7136C">
        <w:t>The Fleming Fund’s programme outcomes are not achieved, as collected and analysed data is not sufficiently shared or acted upon.</w:t>
      </w:r>
    </w:p>
    <w:p w14:paraId="2F60F9EE" w14:textId="16F2EE22" w:rsidR="00304BE4" w:rsidRPr="00304BE4" w:rsidRDefault="00304BE4" w:rsidP="00D41ED9">
      <w:pPr>
        <w:pStyle w:val="ParagraphText-unnumbered"/>
      </w:pPr>
      <w:r w:rsidRPr="00304BE4">
        <w:rPr>
          <w:rStyle w:val="Bold"/>
        </w:rPr>
        <w:t>Mitigation strategy:</w:t>
      </w:r>
      <w:r w:rsidRPr="00304BE4">
        <w:t xml:space="preserve"> </w:t>
      </w:r>
      <w:r w:rsidR="00D41ED9" w:rsidRPr="00D41ED9">
        <w:t>AMR</w:t>
      </w:r>
      <w:r w:rsidR="00D41ED9">
        <w:t xml:space="preserve"> </w:t>
      </w:r>
      <w:r w:rsidR="00D41ED9" w:rsidRPr="00D41ED9">
        <w:t>C</w:t>
      </w:r>
      <w:r w:rsidR="00D41ED9">
        <w:t xml:space="preserve">oordination </w:t>
      </w:r>
      <w:r w:rsidR="00D41ED9" w:rsidRPr="00D41ED9">
        <w:t>C</w:t>
      </w:r>
      <w:r w:rsidR="00D41ED9">
        <w:t>ommittee</w:t>
      </w:r>
      <w:r w:rsidR="00D41ED9" w:rsidRPr="00D41ED9">
        <w:t>s</w:t>
      </w:r>
      <w:r w:rsidR="00D41ED9">
        <w:t xml:space="preserve"> (AMRCCs)</w:t>
      </w:r>
      <w:r w:rsidR="00D41ED9" w:rsidRPr="00D41ED9">
        <w:t xml:space="preserve"> </w:t>
      </w:r>
      <w:r w:rsidR="00373850">
        <w:t xml:space="preserve">are expected to </w:t>
      </w:r>
      <w:r w:rsidR="00D41ED9" w:rsidRPr="00D41ED9">
        <w:t>support the collection and analys</w:t>
      </w:r>
      <w:r w:rsidR="009810D3">
        <w:t>is</w:t>
      </w:r>
      <w:r w:rsidR="00D41ED9" w:rsidRPr="00D41ED9">
        <w:t xml:space="preserve"> of data at the national level and facilitate sharing across sectors as well as regionally and globally. Grant activity in </w:t>
      </w:r>
      <w:r w:rsidR="00AC6BA2">
        <w:t>phase 1</w:t>
      </w:r>
      <w:r w:rsidR="00D41ED9" w:rsidRPr="00D41ED9">
        <w:t xml:space="preserve"> has also supported countries to share this data globally through GLASS. Policy fellows have a particular role in </w:t>
      </w:r>
      <w:r w:rsidR="00FA1E5D">
        <w:t xml:space="preserve">supporting </w:t>
      </w:r>
      <w:r w:rsidR="009E19BA">
        <w:t>national use of</w:t>
      </w:r>
      <w:r w:rsidR="00FA1E5D" w:rsidRPr="00D41ED9">
        <w:t xml:space="preserve"> </w:t>
      </w:r>
      <w:r w:rsidR="00D41ED9" w:rsidRPr="00D41ED9">
        <w:t>data. The Evaluation Supplier assesses prospects for the use of the data and provides recommendations for the programme to consider and adopt.</w:t>
      </w:r>
      <w:r w:rsidR="00667FAF">
        <w:t xml:space="preserve"> The Fleming Fund intends to prioritise greater use of AMR data </w:t>
      </w:r>
      <w:r w:rsidR="00050C40">
        <w:t>as part of the programme’s</w:t>
      </w:r>
      <w:r w:rsidR="00667FAF">
        <w:t xml:space="preserve"> phase 2</w:t>
      </w:r>
      <w:r w:rsidR="00050C40">
        <w:t xml:space="preserve"> strategic shifts. This includes supporting further costing and implementation of </w:t>
      </w:r>
      <w:r w:rsidR="001B0458">
        <w:t>NAPs and</w:t>
      </w:r>
      <w:r w:rsidR="00050C40">
        <w:t xml:space="preserve"> working closely with governments to build a policy environment to act on data generated.</w:t>
      </w:r>
    </w:p>
    <w:p w14:paraId="23849452" w14:textId="7351DA9C" w:rsidR="005D35C6" w:rsidRPr="00E32CF0" w:rsidRDefault="00304BE4" w:rsidP="00A4544C">
      <w:pPr>
        <w:pStyle w:val="ParagraphText-unnumbered"/>
      </w:pPr>
      <w:r w:rsidRPr="00304BE4">
        <w:rPr>
          <w:rStyle w:val="Bold"/>
        </w:rPr>
        <w:t>Residual risk rating</w:t>
      </w:r>
      <w:r w:rsidRPr="00304BE4">
        <w:t xml:space="preserve">: </w:t>
      </w:r>
      <w:r w:rsidR="00654702" w:rsidRPr="003C7E22">
        <w:rPr>
          <w:rStyle w:val="Bold"/>
        </w:rPr>
        <w:t>Amber</w:t>
      </w:r>
      <w:r w:rsidR="00654702">
        <w:t xml:space="preserve"> </w:t>
      </w:r>
    </w:p>
    <w:p w14:paraId="0623D6B8" w14:textId="33C11352" w:rsidR="00F91A50" w:rsidRPr="00F91A50" w:rsidRDefault="00F91A50" w:rsidP="00F91A50">
      <w:pPr>
        <w:pStyle w:val="ParagraphText-unnumbered"/>
      </w:pPr>
      <w:r w:rsidRPr="00F91A50">
        <w:rPr>
          <w:rStyle w:val="Bold"/>
        </w:rPr>
        <w:t>Risk</w:t>
      </w:r>
      <w:r w:rsidR="00F17E29">
        <w:rPr>
          <w:rStyle w:val="Bold"/>
        </w:rPr>
        <w:t xml:space="preserve"> </w:t>
      </w:r>
      <w:r w:rsidR="0003409D">
        <w:rPr>
          <w:rStyle w:val="Bold"/>
        </w:rPr>
        <w:t>4</w:t>
      </w:r>
      <w:r w:rsidRPr="00F91A50">
        <w:rPr>
          <w:rStyle w:val="Bold"/>
        </w:rPr>
        <w:t xml:space="preserve"> description:</w:t>
      </w:r>
      <w:r w:rsidRPr="00F91A50">
        <w:t xml:space="preserve"> </w:t>
      </w:r>
      <w:r w:rsidR="00DC5D7B" w:rsidRPr="00DC5D7B">
        <w:t>UK investments through the Fleming Fund do not align with other international efforts to improve</w:t>
      </w:r>
      <w:r w:rsidR="002C1FE9">
        <w:t xml:space="preserve"> diagnosis and treatment of AMR, laboratory capacity and diagnosis for priority pathogens.</w:t>
      </w:r>
    </w:p>
    <w:p w14:paraId="27F106B8" w14:textId="7FB603F1" w:rsidR="00F91A50" w:rsidRPr="00F91A50" w:rsidRDefault="00F91A50" w:rsidP="00F91A50">
      <w:pPr>
        <w:pStyle w:val="ParagraphText-unnumbered"/>
      </w:pPr>
      <w:r w:rsidRPr="00F91A50">
        <w:rPr>
          <w:rStyle w:val="Bold"/>
        </w:rPr>
        <w:t>Mitigation strategy</w:t>
      </w:r>
      <w:r w:rsidRPr="00F91A50">
        <w:t xml:space="preserve">: </w:t>
      </w:r>
      <w:r w:rsidR="00DC5D7B" w:rsidRPr="00DC5D7B">
        <w:t>The Fund continuously consults and coordinates with key donors and stakeholders, in particular global organisations, NGOs and national aid agencies</w:t>
      </w:r>
      <w:r w:rsidR="000536BD">
        <w:t>.</w:t>
      </w:r>
      <w:r w:rsidR="002C1FE9">
        <w:t xml:space="preserve"> </w:t>
      </w:r>
      <w:r w:rsidR="00B4137B">
        <w:t>The programme team will</w:t>
      </w:r>
      <w:r w:rsidR="002C1FE9">
        <w:t xml:space="preserve"> further refin</w:t>
      </w:r>
      <w:r w:rsidR="00B4137B">
        <w:t>e</w:t>
      </w:r>
      <w:r w:rsidR="002C1FE9">
        <w:t xml:space="preserve"> stakeholder strategy and donor mapping in </w:t>
      </w:r>
      <w:r w:rsidR="00AC6BA2">
        <w:t>phase 2</w:t>
      </w:r>
      <w:r w:rsidR="002C1FE9">
        <w:t xml:space="preserve"> </w:t>
      </w:r>
      <w:r w:rsidR="002C1FE9">
        <w:lastRenderedPageBreak/>
        <w:t xml:space="preserve">proposals, such as increased capacity to coordinate activities. </w:t>
      </w:r>
      <w:r w:rsidR="00B4137B">
        <w:t xml:space="preserve">However, this risk has been reduced since the start of the Fleming Fund, as the programme has </w:t>
      </w:r>
      <w:r w:rsidR="003F71E8">
        <w:t xml:space="preserve">established itself as a known entity over the last 5 years. This has </w:t>
      </w:r>
      <w:r w:rsidR="004334DC">
        <w:t xml:space="preserve">encouraged other donors take the initiative to reach out and coordinate activities with the Fleming Fund. </w:t>
      </w:r>
    </w:p>
    <w:p w14:paraId="56FB501E" w14:textId="676AD62A" w:rsidR="006539C0" w:rsidRPr="00C410A8" w:rsidRDefault="00F91A50" w:rsidP="00F91A50">
      <w:pPr>
        <w:pStyle w:val="ParagraphText-unnumbered"/>
      </w:pPr>
      <w:r w:rsidRPr="00F91A50">
        <w:rPr>
          <w:rStyle w:val="Bold"/>
        </w:rPr>
        <w:t>Residual risk rating:</w:t>
      </w:r>
      <w:r w:rsidRPr="00F91A50">
        <w:t xml:space="preserve"> </w:t>
      </w:r>
      <w:r w:rsidR="001774B4" w:rsidRPr="003C7E22">
        <w:rPr>
          <w:rStyle w:val="Bold"/>
        </w:rPr>
        <w:t>Amber</w:t>
      </w:r>
      <w:r w:rsidR="001774B4">
        <w:t xml:space="preserve"> </w:t>
      </w:r>
    </w:p>
    <w:p w14:paraId="40891504" w14:textId="39809C91" w:rsidR="006539C0" w:rsidRDefault="0086007A" w:rsidP="00DC7D4D">
      <w:pPr>
        <w:pStyle w:val="Heading2"/>
      </w:pPr>
      <w:r>
        <w:t xml:space="preserve">6. </w:t>
      </w:r>
      <w:r w:rsidR="00DC7D4D">
        <w:t>Pro</w:t>
      </w:r>
      <w:r>
        <w:t>ject</w:t>
      </w:r>
      <w:r w:rsidR="00DC7D4D">
        <w:t xml:space="preserve"> management</w:t>
      </w:r>
      <w:r w:rsidR="0063379E">
        <w:t xml:space="preserve"> </w:t>
      </w:r>
    </w:p>
    <w:p w14:paraId="65F8072D" w14:textId="3EE66EF1" w:rsidR="00DC7D4D" w:rsidRDefault="0086007A" w:rsidP="00DC7D4D">
      <w:pPr>
        <w:pStyle w:val="Heading3"/>
      </w:pPr>
      <w:r>
        <w:t xml:space="preserve">6.1 </w:t>
      </w:r>
      <w:r w:rsidR="00845B20">
        <w:t>Delivery against planned timeframe</w:t>
      </w:r>
    </w:p>
    <w:p w14:paraId="3F034FF0" w14:textId="3EF50062" w:rsidR="0083248C" w:rsidRDefault="006F0452" w:rsidP="001D1822">
      <w:pPr>
        <w:pStyle w:val="ParagraphText-unnumbered"/>
      </w:pPr>
      <w:r>
        <w:t>This report assess</w:t>
      </w:r>
      <w:r w:rsidR="006065C4">
        <w:t>es</w:t>
      </w:r>
      <w:r>
        <w:t xml:space="preserve"> partner delivery across </w:t>
      </w:r>
      <w:r w:rsidR="00AC6BA2">
        <w:t>phase 1</w:t>
      </w:r>
      <w:r>
        <w:t xml:space="preserve"> of the Fleming Fund to provide an overview of achievements and lessons learned since 2017 ahead of new </w:t>
      </w:r>
      <w:r w:rsidR="00AC6BA2">
        <w:t>phase 2</w:t>
      </w:r>
      <w:r>
        <w:t xml:space="preserve"> plans. The Fleming Fund is the first ODA-funded programme </w:t>
      </w:r>
      <w:r w:rsidR="004334DC">
        <w:t>to tackle AMR in LMICs at such a large scale</w:t>
      </w:r>
      <w:r>
        <w:t xml:space="preserve">. The delivery objectives set out in the 2017 </w:t>
      </w:r>
      <w:r w:rsidR="00015B28">
        <w:t xml:space="preserve">Business Case </w:t>
      </w:r>
      <w:r>
        <w:t xml:space="preserve">have been revised and improved throughout the programme </w:t>
      </w:r>
      <w:r w:rsidR="00CC70E0">
        <w:t>using an adaptive management approach</w:t>
      </w:r>
      <w:r>
        <w:t xml:space="preserve">. </w:t>
      </w:r>
      <w:r w:rsidR="00CC70E0">
        <w:t>As many grants were due to end in 2021, t</w:t>
      </w:r>
      <w:r>
        <w:t>he project team has agreed extensions accordingly.</w:t>
      </w:r>
      <w:r w:rsidR="00445352">
        <w:t xml:space="preserve"> </w:t>
      </w:r>
      <w:r w:rsidR="001C1E0A">
        <w:t>These extensions will allow grantees to achieve outputs delayed by the COVID-19 pandemic</w:t>
      </w:r>
      <w:r w:rsidR="00445352">
        <w:t xml:space="preserve"> before starting phase 2 activities</w:t>
      </w:r>
      <w:r w:rsidR="001C1E0A">
        <w:t xml:space="preserve">, but </w:t>
      </w:r>
      <w:r w:rsidR="00445352">
        <w:t xml:space="preserve">also provide a smooth transition from phase 1 into phase 2 despite </w:t>
      </w:r>
      <w:r w:rsidR="00445352" w:rsidRPr="00445352">
        <w:t>the delay in the Spending Review and subsequent Business Case approval</w:t>
      </w:r>
      <w:r w:rsidR="00445352">
        <w:t>. The additional time will be used to agree robust grant agreements that are ambitious and achievable, while guaranteeing that grantees do not have to wind down activities in the event that phase 2 funding is delayed.</w:t>
      </w:r>
    </w:p>
    <w:p w14:paraId="208665BC" w14:textId="64417A72" w:rsidR="00845B20" w:rsidRDefault="0086007A" w:rsidP="00845B20">
      <w:pPr>
        <w:pStyle w:val="Heading3"/>
      </w:pPr>
      <w:r>
        <w:t xml:space="preserve">6.2 </w:t>
      </w:r>
      <w:r w:rsidR="00845B20">
        <w:t>Performance of partnerships</w:t>
      </w:r>
    </w:p>
    <w:p w14:paraId="55F73771" w14:textId="2DADCFD6" w:rsidR="00386508" w:rsidRDefault="004F2E61" w:rsidP="00623541">
      <w:pPr>
        <w:pStyle w:val="ParagraphText-unnumbered"/>
      </w:pPr>
      <w:r>
        <w:t>When setting up the Fleming Fund at the start of phase 1,</w:t>
      </w:r>
      <w:r w:rsidR="00CE41C3">
        <w:t xml:space="preserve"> </w:t>
      </w:r>
      <w:r>
        <w:t>t</w:t>
      </w:r>
      <w:r w:rsidR="00517796" w:rsidRPr="00517796">
        <w:t>he pre-grant phase of country engagement with national governments proved to be a critical, high value period in supporting country leadership and action on AMR, taking on average</w:t>
      </w:r>
      <w:r w:rsidR="00386508">
        <w:t xml:space="preserve"> an unexpected</w:t>
      </w:r>
      <w:r w:rsidR="00517796" w:rsidRPr="00517796">
        <w:t xml:space="preserve"> 12 months from engagement to beginning grant activity. There was a high administrative burden, such as when UN agencies were involved in negotiations, or multiple departments were involved in signing Memorandums of Understanding (MoU).</w:t>
      </w:r>
    </w:p>
    <w:p w14:paraId="7B1BE535" w14:textId="799B878C" w:rsidR="00386508" w:rsidRDefault="00386508" w:rsidP="00623541">
      <w:pPr>
        <w:pStyle w:val="ParagraphText-unnumbered"/>
      </w:pPr>
      <w:r>
        <w:t>Despite these delays, exacerbated by COVID-19, the</w:t>
      </w:r>
      <w:r w:rsidRPr="00386508">
        <w:t xml:space="preserve"> Fleming Fund</w:t>
      </w:r>
      <w:r>
        <w:t>'s</w:t>
      </w:r>
      <w:r w:rsidRPr="00386508">
        <w:t xml:space="preserve"> wide range of delivery partners have made significant progress towards the goals set out in the 2017 </w:t>
      </w:r>
      <w:r w:rsidR="00015B28">
        <w:t>Business Case</w:t>
      </w:r>
      <w:r w:rsidRPr="00386508">
        <w:t>. The Management Agent helped to successfully establish</w:t>
      </w:r>
      <w:r w:rsidR="00B311DA">
        <w:t xml:space="preserve"> </w:t>
      </w:r>
      <w:r w:rsidRPr="00386508">
        <w:t>grants in 2</w:t>
      </w:r>
      <w:r w:rsidR="00B311DA">
        <w:t>1</w:t>
      </w:r>
      <w:r w:rsidRPr="00386508">
        <w:t xml:space="preserve"> countries based on detailed country analysis, as well as </w:t>
      </w:r>
      <w:r w:rsidR="004B7566">
        <w:t xml:space="preserve">setting up </w:t>
      </w:r>
      <w:r w:rsidR="00F40217">
        <w:t>12</w:t>
      </w:r>
      <w:r w:rsidR="00350F7C">
        <w:t xml:space="preserve"> </w:t>
      </w:r>
      <w:r w:rsidRPr="00386508">
        <w:t xml:space="preserve">regional grants for specific areas of interest. The WHO, FAO and </w:t>
      </w:r>
      <w:r w:rsidR="00E12A5F">
        <w:t>WOAH</w:t>
      </w:r>
      <w:r w:rsidRPr="00386508">
        <w:t xml:space="preserve"> have </w:t>
      </w:r>
      <w:r w:rsidR="000678F2">
        <w:t>supported a substantial</w:t>
      </w:r>
      <w:r w:rsidR="000678F2" w:rsidRPr="00386508">
        <w:t xml:space="preserve"> </w:t>
      </w:r>
      <w:r w:rsidRPr="00386508">
        <w:t xml:space="preserve">increase </w:t>
      </w:r>
      <w:r w:rsidR="001B705E">
        <w:t>in</w:t>
      </w:r>
      <w:r w:rsidRPr="00386508">
        <w:t xml:space="preserve"> the number of LMICs participating in AMR and AMC data collection </w:t>
      </w:r>
      <w:r w:rsidR="00CE76AB">
        <w:t xml:space="preserve">with the support of </w:t>
      </w:r>
      <w:r w:rsidRPr="00386508">
        <w:t xml:space="preserve">Fleming </w:t>
      </w:r>
      <w:r w:rsidR="003F32AA">
        <w:t xml:space="preserve">funding and </w:t>
      </w:r>
      <w:r w:rsidRPr="00386508">
        <w:t xml:space="preserve">activities </w:t>
      </w:r>
      <w:r w:rsidR="003F32AA">
        <w:t>in countries</w:t>
      </w:r>
      <w:r w:rsidR="009E1214">
        <w:t xml:space="preserve">. The </w:t>
      </w:r>
      <w:r w:rsidR="00BF4FCF">
        <w:t>T</w:t>
      </w:r>
      <w:r w:rsidR="009E1214">
        <w:t>ripartite</w:t>
      </w:r>
      <w:r w:rsidR="00B939F1">
        <w:t xml:space="preserve"> also continued to </w:t>
      </w:r>
      <w:r w:rsidR="00405FCC" w:rsidRPr="00386508">
        <w:t>develop</w:t>
      </w:r>
      <w:r w:rsidRPr="00386508">
        <w:t xml:space="preserve"> global tools for AMR surveillance, such as the </w:t>
      </w:r>
      <w:hyperlink r:id="rId37" w:history="1">
        <w:r w:rsidRPr="00650247">
          <w:rPr>
            <w:rStyle w:val="Hyperlink"/>
          </w:rPr>
          <w:t>Tricycle One Health protocol</w:t>
        </w:r>
      </w:hyperlink>
      <w:r w:rsidRPr="00386508">
        <w:t xml:space="preserve"> </w:t>
      </w:r>
      <w:r w:rsidR="009B0424">
        <w:t>and</w:t>
      </w:r>
      <w:r w:rsidRPr="00386508">
        <w:t xml:space="preserve"> </w:t>
      </w:r>
      <w:hyperlink r:id="rId38" w:history="1">
        <w:r w:rsidRPr="00F222D9">
          <w:rPr>
            <w:rStyle w:val="Hyperlink"/>
          </w:rPr>
          <w:t>ATLASS</w:t>
        </w:r>
      </w:hyperlink>
      <w:r w:rsidR="009B0424">
        <w:t xml:space="preserve"> with Fleming Fund support</w:t>
      </w:r>
      <w:r w:rsidRPr="00386508">
        <w:t>.</w:t>
      </w:r>
      <w:r w:rsidR="0062770A">
        <w:t xml:space="preserve"> </w:t>
      </w:r>
      <w:r w:rsidR="0062770A" w:rsidRPr="0062770A">
        <w:t xml:space="preserve">However, some partners continued to struggle to </w:t>
      </w:r>
      <w:r w:rsidR="0062770A" w:rsidRPr="0062770A">
        <w:lastRenderedPageBreak/>
        <w:t>balance responsibilities linked to zoonotic disease outbreaks and COVID-19 with their Fleming Fund activities (see output scoring and project performance for more detail).</w:t>
      </w:r>
    </w:p>
    <w:p w14:paraId="456FF343" w14:textId="2B46BE7D" w:rsidR="00BD7841" w:rsidRPr="00BD7841" w:rsidRDefault="00386508" w:rsidP="00623541">
      <w:pPr>
        <w:pStyle w:val="ParagraphText-unnumbered"/>
      </w:pPr>
      <w:r>
        <w:t xml:space="preserve">Partners regularly incorporate learnings into their </w:t>
      </w:r>
      <w:r w:rsidR="005B1CA6">
        <w:t>activities and</w:t>
      </w:r>
      <w:r>
        <w:t xml:space="preserve"> share </w:t>
      </w:r>
      <w:r w:rsidR="004400F6">
        <w:t xml:space="preserve">these </w:t>
      </w:r>
      <w:r w:rsidR="001F0322">
        <w:t>lessons</w:t>
      </w:r>
      <w:r>
        <w:t xml:space="preserve"> widely with </w:t>
      </w:r>
      <w:r w:rsidR="00775C58">
        <w:t>relevant stakeholders</w:t>
      </w:r>
      <w:r>
        <w:t xml:space="preserve">. </w:t>
      </w:r>
      <w:r w:rsidR="002B3437">
        <w:t xml:space="preserve">CwPAMS </w:t>
      </w:r>
      <w:r w:rsidR="00B12796">
        <w:t>take a health partnership approach</w:t>
      </w:r>
      <w:r w:rsidR="00160D16">
        <w:t>,</w:t>
      </w:r>
      <w:r w:rsidR="00B12796">
        <w:t xml:space="preserve"> </w:t>
      </w:r>
      <w:r w:rsidR="00A6151B">
        <w:t xml:space="preserve">with </w:t>
      </w:r>
      <w:r w:rsidR="0001137B">
        <w:t xml:space="preserve">UK </w:t>
      </w:r>
      <w:r w:rsidR="00160D16">
        <w:t xml:space="preserve">National Health Service </w:t>
      </w:r>
      <w:r w:rsidR="00781A7B">
        <w:t xml:space="preserve">institutions </w:t>
      </w:r>
      <w:r w:rsidR="00B3065B">
        <w:t>and other technical experts</w:t>
      </w:r>
      <w:r w:rsidR="002B3437">
        <w:t xml:space="preserve"> collaborat</w:t>
      </w:r>
      <w:r w:rsidR="005255F0">
        <w:t>ing</w:t>
      </w:r>
      <w:r w:rsidR="00B06F46">
        <w:t xml:space="preserve"> with their counterparts </w:t>
      </w:r>
      <w:r w:rsidR="00A0133D">
        <w:t>in 8 Commonwealth countries</w:t>
      </w:r>
      <w:r w:rsidR="002B3437">
        <w:t xml:space="preserve"> to</w:t>
      </w:r>
      <w:r>
        <w:t xml:space="preserve"> </w:t>
      </w:r>
      <w:r w:rsidR="00BD7841" w:rsidRPr="00BD7841">
        <w:t>implement effective antimicrobial stewardship strategies in hospitals, improve the knowledge and practice amongst health workers around antimicrobial stewardship</w:t>
      </w:r>
      <w:r w:rsidR="00FB0E8D">
        <w:t>,</w:t>
      </w:r>
      <w:r w:rsidR="00BD7841" w:rsidRPr="00BD7841">
        <w:t xml:space="preserve"> infection, prevention and control, and orient health workers on standardised tools and guidance.</w:t>
      </w:r>
    </w:p>
    <w:p w14:paraId="13A22AB8" w14:textId="787730E1" w:rsidR="00386508" w:rsidRDefault="0062770A" w:rsidP="00623541">
      <w:pPr>
        <w:pStyle w:val="ParagraphText-unnumbered"/>
      </w:pPr>
      <w:r>
        <w:t>Although COVID-19</w:t>
      </w:r>
      <w:r w:rsidR="0039131A">
        <w:t xml:space="preserve"> continued to disrupt collaboration,</w:t>
      </w:r>
      <w:r w:rsidR="003B15C6">
        <w:t xml:space="preserve"> many</w:t>
      </w:r>
      <w:r w:rsidR="0039131A">
        <w:t xml:space="preserve"> Fleming Fund partners continue to coordinate and discuss key lessons learned. Grantees took advantage of the remote networking opportunity provided by the 2021 Interim Delivery Partners Event to collaborate on shared goals</w:t>
      </w:r>
      <w:r w:rsidR="0084303B">
        <w:t xml:space="preserve">. Externally, </w:t>
      </w:r>
      <w:r w:rsidR="00F2655E">
        <w:t>the GRAM project and South Centre contributed greatly to raising awareness of AMR amongst decision makers. For example, the South Centre has supported local civil society organisations in the design and implementation of AMR campaigns in 7 countries, including producing material in local languages.</w:t>
      </w:r>
    </w:p>
    <w:p w14:paraId="5CF121BA" w14:textId="16D402E5" w:rsidR="009E3250" w:rsidRDefault="004A0BC4" w:rsidP="00623541">
      <w:pPr>
        <w:pStyle w:val="ParagraphText-unnumbered"/>
      </w:pPr>
      <w:r>
        <w:t xml:space="preserve">A key lesson learned from 2021 was </w:t>
      </w:r>
      <w:r w:rsidR="00D13A81">
        <w:t>the discontinuation of all but one economic fellowship due to a lack of uptake by national governments</w:t>
      </w:r>
      <w:r w:rsidR="006932EB">
        <w:t>. Given the lack of commonalities between the ODI fellowship aims and national government priorities, t</w:t>
      </w:r>
      <w:r w:rsidR="005D2786">
        <w:t>he sustainability of the scheme will be reviewed in phase 2.</w:t>
      </w:r>
    </w:p>
    <w:p w14:paraId="6772FFE1" w14:textId="03B472C9" w:rsidR="00B75F49" w:rsidRDefault="0086007A" w:rsidP="00623541">
      <w:pPr>
        <w:pStyle w:val="Heading3"/>
      </w:pPr>
      <w:bookmarkStart w:id="2" w:name="_Hlk103872638"/>
      <w:r>
        <w:t xml:space="preserve">6.3 </w:t>
      </w:r>
      <w:r w:rsidR="00845B20">
        <w:t>Asset monitoring and control</w:t>
      </w:r>
      <w:bookmarkEnd w:id="2"/>
    </w:p>
    <w:p w14:paraId="566E63FE" w14:textId="52373D5D" w:rsidR="005A36FB" w:rsidRDefault="00A94BAA" w:rsidP="00623541">
      <w:pPr>
        <w:pStyle w:val="ParagraphText-unnumbered"/>
      </w:pPr>
      <w:r>
        <w:t xml:space="preserve">The </w:t>
      </w:r>
      <w:r w:rsidRPr="00A94BAA">
        <w:t>Fleming Fund</w:t>
      </w:r>
      <w:r>
        <w:t>'</w:t>
      </w:r>
      <w:r w:rsidRPr="00A94BAA">
        <w:t xml:space="preserve">s Asset Management policy in 2021 remained largely the same as </w:t>
      </w:r>
      <w:r w:rsidR="00041E06">
        <w:t xml:space="preserve">the policy </w:t>
      </w:r>
      <w:r w:rsidRPr="00A94BAA">
        <w:t>developed in 2020</w:t>
      </w:r>
      <w:r>
        <w:t xml:space="preserve"> (see </w:t>
      </w:r>
      <w:hyperlink r:id="rId39" w:history="1">
        <w:r w:rsidRPr="003D08C9">
          <w:rPr>
            <w:rStyle w:val="Hyperlink"/>
          </w:rPr>
          <w:t>2020 Annual Review</w:t>
        </w:r>
      </w:hyperlink>
      <w:r>
        <w:t>)</w:t>
      </w:r>
      <w:r w:rsidRPr="00A94BAA">
        <w:t xml:space="preserve">. Many country grants ended during the year which required transfer of assets primarily to country governments. This process was managed via the Management Agent who sought and obtained permission from </w:t>
      </w:r>
      <w:r w:rsidR="00747B56">
        <w:t>DHSC</w:t>
      </w:r>
      <w:r w:rsidRPr="00A94BAA">
        <w:t xml:space="preserve"> to transfer grant assets.</w:t>
      </w:r>
      <w:r w:rsidR="001B0458">
        <w:t xml:space="preserve"> </w:t>
      </w:r>
      <w:r w:rsidRPr="00A94BAA">
        <w:t xml:space="preserve">For each request, country circumstances and asset type were taken into consideration and relevant adaptations were applied following advice received from </w:t>
      </w:r>
      <w:r w:rsidR="00A64B61">
        <w:t xml:space="preserve">the DHSC Global Health Security </w:t>
      </w:r>
      <w:r w:rsidR="003B16A6">
        <w:t>p</w:t>
      </w:r>
      <w:r>
        <w:t xml:space="preserve">rogramme </w:t>
      </w:r>
      <w:r w:rsidR="003B16A6">
        <w:t>m</w:t>
      </w:r>
      <w:r>
        <w:t xml:space="preserve">anagement </w:t>
      </w:r>
      <w:r w:rsidR="00596108">
        <w:t>o</w:t>
      </w:r>
      <w:r w:rsidRPr="00A94BAA">
        <w:t xml:space="preserve">ffice (PMO) and FCDO colleagues. </w:t>
      </w:r>
    </w:p>
    <w:p w14:paraId="6C8D3EC8" w14:textId="4033A7CB" w:rsidR="00845B20" w:rsidRDefault="00A94BAA" w:rsidP="00623541">
      <w:pPr>
        <w:pStyle w:val="ParagraphText-unnumbered"/>
      </w:pPr>
      <w:r w:rsidRPr="00A94BAA">
        <w:t>For example, grant assets were transferred to the International Centre for Diarrhoeal Disease Research Bangladesh (</w:t>
      </w:r>
      <w:r w:rsidR="00623541">
        <w:t>ICDDR, B</w:t>
      </w:r>
      <w:r w:rsidRPr="00A94BAA">
        <w:t xml:space="preserve">) </w:t>
      </w:r>
      <w:r w:rsidR="002B635E">
        <w:t xml:space="preserve">rather </w:t>
      </w:r>
      <w:r w:rsidRPr="00A94BAA">
        <w:t xml:space="preserve">than the National Government following advice from PMO and FCDO. </w:t>
      </w:r>
      <w:r w:rsidR="002B635E">
        <w:t>T</w:t>
      </w:r>
      <w:r w:rsidRPr="00A94BAA">
        <w:t>his approach was considered preferable to avoid long delays and tax/ duty complications. I</w:t>
      </w:r>
      <w:r w:rsidR="00FB7F83">
        <w:t>n</w:t>
      </w:r>
      <w:r w:rsidRPr="00A94BAA">
        <w:t xml:space="preserve"> approving the transfer as proposed, consideration was given to </w:t>
      </w:r>
      <w:r w:rsidR="00F36053">
        <w:t>V</w:t>
      </w:r>
      <w:r w:rsidRPr="00A94BAA">
        <w:t xml:space="preserve">alue for </w:t>
      </w:r>
      <w:r w:rsidR="00F36053">
        <w:t>M</w:t>
      </w:r>
      <w:r w:rsidRPr="00A94BAA">
        <w:t xml:space="preserve">oney (receiving organisation was exempted from National tax and VAT) and securing sustainability of </w:t>
      </w:r>
      <w:r w:rsidR="00F36053">
        <w:t>UK government</w:t>
      </w:r>
      <w:r w:rsidR="00F36053" w:rsidRPr="00A94BAA">
        <w:t xml:space="preserve"> </w:t>
      </w:r>
      <w:r w:rsidRPr="00A94BAA">
        <w:t xml:space="preserve">investment in the grant (receiving organisation </w:t>
      </w:r>
      <w:r w:rsidR="00A40C0C">
        <w:t xml:space="preserve">agreed to </w:t>
      </w:r>
      <w:r w:rsidRPr="00A94BAA">
        <w:t>undert</w:t>
      </w:r>
      <w:r w:rsidR="00A40C0C">
        <w:t xml:space="preserve">ake ongoing </w:t>
      </w:r>
      <w:r w:rsidR="00E04714">
        <w:t>maintenance</w:t>
      </w:r>
      <w:r w:rsidRPr="00A94BAA">
        <w:t xml:space="preserve"> </w:t>
      </w:r>
      <w:r w:rsidR="00A40C0C">
        <w:t xml:space="preserve">of </w:t>
      </w:r>
      <w:r w:rsidRPr="00A94BAA">
        <w:t>assets).</w:t>
      </w:r>
    </w:p>
    <w:p w14:paraId="40BDDDCD" w14:textId="009BAE5A" w:rsidR="06CE717E" w:rsidRDefault="06CE717E" w:rsidP="06CE717E">
      <w:pPr>
        <w:pStyle w:val="ParagraphText-unnumbered"/>
        <w:rPr>
          <w:szCs w:val="24"/>
        </w:rPr>
      </w:pPr>
      <w:r w:rsidRPr="06CE717E">
        <w:rPr>
          <w:szCs w:val="24"/>
        </w:rPr>
        <w:lastRenderedPageBreak/>
        <w:t xml:space="preserve">The PMO are currently developing an assets policy, which builds on FCDOs rules on asset management. This is broadly in line with the Fleming Fund’s approach to asset management; however, where there are deviations to FCDO / DHSC policy, </w:t>
      </w:r>
      <w:r w:rsidR="002A2F96">
        <w:rPr>
          <w:szCs w:val="24"/>
        </w:rPr>
        <w:t xml:space="preserve">the </w:t>
      </w:r>
      <w:r w:rsidRPr="06CE717E">
        <w:rPr>
          <w:szCs w:val="24"/>
        </w:rPr>
        <w:t xml:space="preserve">Fleming Fund </w:t>
      </w:r>
      <w:r w:rsidR="00327E8C">
        <w:rPr>
          <w:szCs w:val="24"/>
        </w:rPr>
        <w:t xml:space="preserve">approach </w:t>
      </w:r>
      <w:r w:rsidRPr="06CE717E">
        <w:rPr>
          <w:szCs w:val="24"/>
        </w:rPr>
        <w:t xml:space="preserve">will </w:t>
      </w:r>
      <w:r w:rsidR="00327E8C">
        <w:rPr>
          <w:szCs w:val="24"/>
        </w:rPr>
        <w:t xml:space="preserve">be </w:t>
      </w:r>
      <w:r w:rsidRPr="06CE717E">
        <w:rPr>
          <w:szCs w:val="24"/>
        </w:rPr>
        <w:t>adjust</w:t>
      </w:r>
      <w:r w:rsidR="00327E8C">
        <w:rPr>
          <w:szCs w:val="24"/>
        </w:rPr>
        <w:t>ed</w:t>
      </w:r>
      <w:r w:rsidRPr="06CE717E">
        <w:rPr>
          <w:szCs w:val="24"/>
        </w:rPr>
        <w:t xml:space="preserve"> to ensure alignment.</w:t>
      </w:r>
    </w:p>
    <w:p w14:paraId="6C7C75C0" w14:textId="782F60D4" w:rsidR="06CE717E" w:rsidRDefault="06CE717E" w:rsidP="006D31F7">
      <w:pPr>
        <w:pStyle w:val="Boxedtext-greenborder"/>
      </w:pPr>
      <w:r w:rsidRPr="006D31F7">
        <w:rPr>
          <w:b/>
          <w:bCs/>
        </w:rPr>
        <w:t>Recommendation</w:t>
      </w:r>
      <w:r w:rsidR="00282120">
        <w:rPr>
          <w:b/>
          <w:bCs/>
        </w:rPr>
        <w:t xml:space="preserve"> 5</w:t>
      </w:r>
      <w:r w:rsidRPr="006D31F7">
        <w:rPr>
          <w:b/>
          <w:bCs/>
        </w:rPr>
        <w:t xml:space="preserve">: </w:t>
      </w:r>
      <w:r w:rsidRPr="06CE717E">
        <w:t>Review Fleming Fund’s approach to asset management in the context of FCDO rules and new DHSC assets policy. Where there are deviations, the approach to asset management</w:t>
      </w:r>
      <w:r w:rsidR="001352DB">
        <w:t xml:space="preserve"> will be adjusted to ensure alignment</w:t>
      </w:r>
      <w:r w:rsidRPr="06CE717E">
        <w:t>. Where this is not possible, and exceptionally, a risk-based decision not to align to these policies must be documented.</w:t>
      </w:r>
      <w:r w:rsidR="007E4665">
        <w:t xml:space="preserve"> Review progress by end of 2022.</w:t>
      </w:r>
      <w:r w:rsidRPr="06CE717E">
        <w:t xml:space="preserve"> </w:t>
      </w:r>
    </w:p>
    <w:p w14:paraId="0ACD4208" w14:textId="71FDED0F" w:rsidR="0063379E" w:rsidRPr="00845B20" w:rsidRDefault="00AA5AB4" w:rsidP="0063379E">
      <w:pPr>
        <w:pStyle w:val="Heading2"/>
      </w:pPr>
      <w:r>
        <w:t xml:space="preserve">7. </w:t>
      </w:r>
      <w:r w:rsidR="0063379E">
        <w:t xml:space="preserve">Financial performance </w:t>
      </w:r>
    </w:p>
    <w:p w14:paraId="01AE7E6A" w14:textId="169DD051" w:rsidR="00845B20" w:rsidRDefault="00AA5AB4" w:rsidP="0063379E">
      <w:pPr>
        <w:pStyle w:val="Heading3"/>
      </w:pPr>
      <w:r>
        <w:t xml:space="preserve">7.1 </w:t>
      </w:r>
      <w:r w:rsidR="0063379E">
        <w:t xml:space="preserve">Value for </w:t>
      </w:r>
      <w:r w:rsidR="00650ABA">
        <w:t>M</w:t>
      </w:r>
      <w:r w:rsidR="0063379E">
        <w:t xml:space="preserve">oney </w:t>
      </w:r>
      <w:r w:rsidR="004C505C">
        <w:t xml:space="preserve">(VfM) </w:t>
      </w:r>
      <w:r w:rsidR="0063379E">
        <w:t>assessment</w:t>
      </w:r>
    </w:p>
    <w:p w14:paraId="7D1F7133" w14:textId="5A3D6611" w:rsidR="007648A1" w:rsidRPr="00A33A97" w:rsidRDefault="009F4D40" w:rsidP="004C505C">
      <w:pPr>
        <w:pStyle w:val="ParagraphText-unnumbered"/>
      </w:pPr>
      <w:r>
        <w:t xml:space="preserve">The Fleming Fund </w:t>
      </w:r>
      <w:r w:rsidR="001575D9">
        <w:t xml:space="preserve">continues to maintain strong cost controls in </w:t>
      </w:r>
      <w:r w:rsidR="004C505C">
        <w:t xml:space="preserve">line with guidance on VfM </w:t>
      </w:r>
      <w:r w:rsidR="007648A1">
        <w:t xml:space="preserve">and with the advice of </w:t>
      </w:r>
      <w:r w:rsidR="00184065">
        <w:t xml:space="preserve">the </w:t>
      </w:r>
      <w:r w:rsidR="00671C61">
        <w:t>Independent Evaluator</w:t>
      </w:r>
      <w:r w:rsidR="007648A1">
        <w:t xml:space="preserve"> </w:t>
      </w:r>
      <w:r w:rsidR="00C442DE">
        <w:t>I</w:t>
      </w:r>
      <w:r w:rsidR="007648A1">
        <w:t xml:space="preserve">tad </w:t>
      </w:r>
      <w:r w:rsidR="004C505C">
        <w:t xml:space="preserve">(see </w:t>
      </w:r>
      <w:hyperlink r:id="rId40">
        <w:r w:rsidR="3798AAA0" w:rsidRPr="6982AF57">
          <w:rPr>
            <w:rStyle w:val="Hyperlink"/>
          </w:rPr>
          <w:t>2020 Annual R</w:t>
        </w:r>
        <w:r w:rsidR="00B5262D">
          <w:rPr>
            <w:rStyle w:val="Hyperlink"/>
          </w:rPr>
          <w:t>eview</w:t>
        </w:r>
      </w:hyperlink>
      <w:r w:rsidR="3798AAA0">
        <w:t>).</w:t>
      </w:r>
      <w:r w:rsidR="008D3539">
        <w:t xml:space="preserve"> </w:t>
      </w:r>
      <w:r w:rsidR="00BA5AB3">
        <w:t xml:space="preserve">These </w:t>
      </w:r>
      <w:r w:rsidR="001360D0">
        <w:t>were</w:t>
      </w:r>
      <w:r w:rsidR="00BA5AB3">
        <w:t xml:space="preserve"> reviewed ahead of the </w:t>
      </w:r>
      <w:r w:rsidR="001360D0">
        <w:t xml:space="preserve">development and finalisation of the </w:t>
      </w:r>
      <w:r w:rsidR="00AC6BA2">
        <w:t>phase 2</w:t>
      </w:r>
      <w:r w:rsidR="00BA5AB3">
        <w:t xml:space="preserve"> Business Case</w:t>
      </w:r>
      <w:r w:rsidR="00E472B1">
        <w:t xml:space="preserve"> to ensure </w:t>
      </w:r>
      <w:r w:rsidR="006F310D">
        <w:t>particular consideration for gender and equity.</w:t>
      </w:r>
    </w:p>
    <w:p w14:paraId="752EFE8E" w14:textId="240ED1D8" w:rsidR="00510B08" w:rsidRPr="003E5DE0" w:rsidRDefault="00510B08" w:rsidP="004C505C">
      <w:pPr>
        <w:pStyle w:val="ParagraphText-unnumbered"/>
      </w:pPr>
      <w:r w:rsidRPr="003E5DE0">
        <w:t xml:space="preserve">The Fleming Fund Team has continued to support VfM through the following </w:t>
      </w:r>
      <w:r w:rsidRPr="003E5DE0">
        <w:rPr>
          <w:b/>
          <w:bCs/>
          <w:i/>
          <w:iCs/>
        </w:rPr>
        <w:t>Four E’s/Four-tier</w:t>
      </w:r>
      <w:r w:rsidRPr="003E5DE0">
        <w:rPr>
          <w:b/>
          <w:bCs/>
        </w:rPr>
        <w:t xml:space="preserve"> </w:t>
      </w:r>
      <w:r w:rsidRPr="003E5DE0">
        <w:t>approach</w:t>
      </w:r>
      <w:r w:rsidR="00F74741" w:rsidRPr="003E5DE0">
        <w:t xml:space="preserve"> – which </w:t>
      </w:r>
      <w:r w:rsidR="0078726E" w:rsidRPr="003E5DE0">
        <w:t xml:space="preserve">is </w:t>
      </w:r>
      <w:r w:rsidR="00F74741" w:rsidRPr="003E5DE0">
        <w:t>used across all projects and grants:</w:t>
      </w:r>
    </w:p>
    <w:p w14:paraId="5547515E" w14:textId="0236AA3D" w:rsidR="00510B08" w:rsidRPr="003E5DE0" w:rsidRDefault="00C155FA" w:rsidP="00A5147B">
      <w:pPr>
        <w:pStyle w:val="Bulletundernumberedlist"/>
      </w:pPr>
      <w:r w:rsidRPr="003E5DE0">
        <w:t>From</w:t>
      </w:r>
      <w:r w:rsidR="00510B08" w:rsidRPr="003E5DE0">
        <w:t xml:space="preserve"> </w:t>
      </w:r>
      <w:r w:rsidRPr="003E5DE0">
        <w:t>the</w:t>
      </w:r>
      <w:r w:rsidR="00510B08" w:rsidRPr="003E5DE0">
        <w:t xml:space="preserve"> outset at the </w:t>
      </w:r>
      <w:r w:rsidR="00510B08" w:rsidRPr="003E5DE0">
        <w:rPr>
          <w:b/>
          <w:bCs/>
        </w:rPr>
        <w:t xml:space="preserve">contract negotiation </w:t>
      </w:r>
      <w:r w:rsidR="00510B08" w:rsidRPr="003E5DE0">
        <w:t xml:space="preserve">and </w:t>
      </w:r>
      <w:r w:rsidR="00510B08" w:rsidRPr="003E5DE0">
        <w:rPr>
          <w:b/>
          <w:bCs/>
        </w:rPr>
        <w:t>programme design</w:t>
      </w:r>
      <w:r w:rsidR="00510B08" w:rsidRPr="003E5DE0">
        <w:t xml:space="preserve"> phase</w:t>
      </w:r>
      <w:r w:rsidR="002A06D7">
        <w:t>, for example</w:t>
      </w:r>
      <w:r w:rsidR="00510B08" w:rsidRPr="003E5DE0">
        <w:t xml:space="preserve"> use of regional hubs and competition grant processes to drive value. </w:t>
      </w:r>
    </w:p>
    <w:p w14:paraId="2C096468" w14:textId="49107B36" w:rsidR="00510B08" w:rsidRPr="003E5DE0" w:rsidRDefault="00510B08">
      <w:pPr>
        <w:pStyle w:val="Bulletundernumberedlist"/>
      </w:pPr>
      <w:r w:rsidRPr="003E5DE0">
        <w:t xml:space="preserve">At the </w:t>
      </w:r>
      <w:r w:rsidRPr="003E5DE0">
        <w:rPr>
          <w:b/>
          <w:bCs/>
        </w:rPr>
        <w:t xml:space="preserve">grant agreement phase </w:t>
      </w:r>
      <w:r w:rsidRPr="003E5DE0">
        <w:t xml:space="preserve">– reviewing budget and allocation of resources </w:t>
      </w:r>
      <w:r w:rsidR="006669A4">
        <w:t>–</w:t>
      </w:r>
      <w:r w:rsidRPr="003E5DE0">
        <w:t xml:space="preserve"> including monitoring administration costs closely. (economy)</w:t>
      </w:r>
    </w:p>
    <w:p w14:paraId="7F5DBAC6" w14:textId="7F5046D4" w:rsidR="00510B08" w:rsidRPr="003E5DE0" w:rsidRDefault="00510B08" w:rsidP="00A5147B">
      <w:pPr>
        <w:pStyle w:val="Bulletundernumberedlist"/>
      </w:pPr>
      <w:r w:rsidRPr="003E5DE0">
        <w:t xml:space="preserve">At the </w:t>
      </w:r>
      <w:r w:rsidR="008A0089">
        <w:rPr>
          <w:b/>
          <w:bCs/>
        </w:rPr>
        <w:t>q</w:t>
      </w:r>
      <w:r w:rsidRPr="003E5DE0">
        <w:rPr>
          <w:b/>
          <w:bCs/>
        </w:rPr>
        <w:t xml:space="preserve">uarterly </w:t>
      </w:r>
      <w:r w:rsidR="008A0089">
        <w:rPr>
          <w:b/>
          <w:bCs/>
        </w:rPr>
        <w:t>r</w:t>
      </w:r>
      <w:r w:rsidRPr="003E5DE0">
        <w:rPr>
          <w:b/>
          <w:bCs/>
        </w:rPr>
        <w:t xml:space="preserve">eview stage </w:t>
      </w:r>
      <w:r w:rsidRPr="003E5DE0">
        <w:t>– looking at workplan completion versus spend ratios. (efficiency)</w:t>
      </w:r>
    </w:p>
    <w:p w14:paraId="49D34BB2" w14:textId="4035FF60" w:rsidR="00510B08" w:rsidRPr="003E5DE0" w:rsidRDefault="00510B08" w:rsidP="00A5147B">
      <w:pPr>
        <w:pStyle w:val="Bulletundernumberedlist"/>
      </w:pPr>
      <w:r w:rsidRPr="003E5DE0">
        <w:t>At the</w:t>
      </w:r>
      <w:r w:rsidRPr="003E5DE0">
        <w:rPr>
          <w:b/>
          <w:bCs/>
        </w:rPr>
        <w:t xml:space="preserve"> </w:t>
      </w:r>
      <w:r w:rsidR="009C0EE3">
        <w:rPr>
          <w:b/>
          <w:bCs/>
        </w:rPr>
        <w:t>e</w:t>
      </w:r>
      <w:r w:rsidRPr="003E5DE0">
        <w:rPr>
          <w:b/>
          <w:bCs/>
        </w:rPr>
        <w:t xml:space="preserve">nd of grant stage </w:t>
      </w:r>
      <w:r w:rsidRPr="003E5DE0">
        <w:t>– assessing whether inputs are translating into outputs and outcomes. (effectiveness)</w:t>
      </w:r>
    </w:p>
    <w:p w14:paraId="47F2649F" w14:textId="2C08F2C3" w:rsidR="000E4A1D" w:rsidRPr="003E5DE0" w:rsidRDefault="00122BCB" w:rsidP="00A5147B">
      <w:pPr>
        <w:pStyle w:val="Bulletundernumberedlist"/>
      </w:pPr>
      <w:r>
        <w:t xml:space="preserve">Throughout </w:t>
      </w:r>
      <w:r w:rsidR="00343023" w:rsidRPr="003F7C56">
        <w:rPr>
          <w:b/>
          <w:bCs/>
        </w:rPr>
        <w:t>all stages of the grant</w:t>
      </w:r>
      <w:r w:rsidR="00343023">
        <w:t xml:space="preserve"> – ensuring benefits are distributed fairly </w:t>
      </w:r>
      <w:r w:rsidR="00673CB1">
        <w:t>and consider</w:t>
      </w:r>
      <w:r w:rsidR="00EF36FF">
        <w:t>ing social and economic disparity. (equity)</w:t>
      </w:r>
    </w:p>
    <w:p w14:paraId="67010AC6" w14:textId="4AFC71CB" w:rsidR="0063379E" w:rsidRDefault="0063379E" w:rsidP="0063379E">
      <w:pPr>
        <w:pStyle w:val="Heading4"/>
      </w:pPr>
      <w:r>
        <w:t>Economy</w:t>
      </w:r>
    </w:p>
    <w:p w14:paraId="3DC148D6" w14:textId="6604EEC9" w:rsidR="007B6991" w:rsidRDefault="00DA34E7" w:rsidP="0063379E">
      <w:pPr>
        <w:pStyle w:val="ParagraphText-unnumbered"/>
      </w:pPr>
      <w:r>
        <w:t>Due to continued COVID-19 restrictions, r</w:t>
      </w:r>
      <w:r w:rsidR="006F310D">
        <w:t xml:space="preserve">emote </w:t>
      </w:r>
      <w:r w:rsidR="008918FD">
        <w:t>events</w:t>
      </w:r>
      <w:r w:rsidR="006F310D">
        <w:t xml:space="preserve"> </w:t>
      </w:r>
      <w:r w:rsidR="00FF5E14">
        <w:t xml:space="preserve">continue </w:t>
      </w:r>
      <w:r w:rsidR="00143214">
        <w:t>as the standard method of delivery across Fleming Fund projects</w:t>
      </w:r>
      <w:r w:rsidR="00B30373">
        <w:t>. T</w:t>
      </w:r>
      <w:r w:rsidR="008918FD">
        <w:t xml:space="preserve">he Interim Delivery Partners </w:t>
      </w:r>
      <w:r w:rsidR="004F6025">
        <w:t>E</w:t>
      </w:r>
      <w:r w:rsidR="008918FD">
        <w:t>vent</w:t>
      </w:r>
      <w:r w:rsidR="00E10919">
        <w:t xml:space="preserve"> and </w:t>
      </w:r>
      <w:r w:rsidR="00AC6BA2">
        <w:t>phase 2</w:t>
      </w:r>
      <w:r w:rsidR="00E10919">
        <w:t xml:space="preserve"> </w:t>
      </w:r>
      <w:r w:rsidR="00E10919">
        <w:lastRenderedPageBreak/>
        <w:t>workshops</w:t>
      </w:r>
      <w:r w:rsidR="008918FD">
        <w:t xml:space="preserve"> </w:t>
      </w:r>
      <w:r w:rsidR="00B30373">
        <w:t xml:space="preserve">were </w:t>
      </w:r>
      <w:r w:rsidR="00E10919">
        <w:t>held at no additional cost</w:t>
      </w:r>
      <w:r w:rsidR="005619C7">
        <w:t xml:space="preserve">. </w:t>
      </w:r>
      <w:r w:rsidR="00B770EB">
        <w:t>The regional grants found strong evidence that training delivered remotely could still result in strong learning outcomes, with reduced overall costs.</w:t>
      </w:r>
      <w:r w:rsidR="00E04714">
        <w:t xml:space="preserve"> </w:t>
      </w:r>
      <w:r w:rsidR="00CD4B64">
        <w:t xml:space="preserve">In line with the </w:t>
      </w:r>
      <w:hyperlink r:id="rId41" w:history="1">
        <w:r w:rsidR="00CD4B64" w:rsidRPr="003D08C9">
          <w:rPr>
            <w:rStyle w:val="Hyperlink"/>
          </w:rPr>
          <w:t>2020 Annual Re</w:t>
        </w:r>
        <w:r w:rsidR="005F5A26" w:rsidRPr="003D08C9">
          <w:rPr>
            <w:rStyle w:val="Hyperlink"/>
          </w:rPr>
          <w:t>view</w:t>
        </w:r>
      </w:hyperlink>
      <w:r w:rsidR="00CD4B64">
        <w:t xml:space="preserve">, this is expected </w:t>
      </w:r>
      <w:r w:rsidR="00B30373">
        <w:t>to shift to a "hybrid model" in 2022</w:t>
      </w:r>
      <w:r w:rsidR="005619C7">
        <w:t xml:space="preserve"> to improve relationship-building and </w:t>
      </w:r>
      <w:r w:rsidR="005619C7" w:rsidRPr="005619C7">
        <w:t>collaboration between grants</w:t>
      </w:r>
      <w:r w:rsidR="00B30373">
        <w:t>.</w:t>
      </w:r>
    </w:p>
    <w:p w14:paraId="2B8962AE" w14:textId="3F48C4BA" w:rsidR="00FB23FF" w:rsidRPr="003E5DE0" w:rsidRDefault="00261A72" w:rsidP="0063379E">
      <w:pPr>
        <w:pStyle w:val="ParagraphText-unnumbered"/>
      </w:pPr>
      <w:r>
        <w:t>T</w:t>
      </w:r>
      <w:r w:rsidR="00FB23FF" w:rsidRPr="003E5DE0">
        <w:t>raining session</w:t>
      </w:r>
      <w:r>
        <w:t>s</w:t>
      </w:r>
      <w:r w:rsidR="00FB23FF" w:rsidRPr="003E5DE0">
        <w:t xml:space="preserve"> on VfM for the Fleming Fund team and GHS Team </w:t>
      </w:r>
      <w:r>
        <w:t>have been planned for 2022</w:t>
      </w:r>
      <w:r w:rsidR="00FB23FF" w:rsidRPr="003E5DE0">
        <w:t xml:space="preserve"> to support DHSC’s monitoring and control of cost. The team is also monitoring the projected impact of inflation on FF costs over 2022. </w:t>
      </w:r>
      <w:r w:rsidR="0069071A">
        <w:t>The Fleming Fund will also ask partners to provide options of additional activities</w:t>
      </w:r>
      <w:r w:rsidR="007F398A">
        <w:t xml:space="preserve"> that meet the aims of the ToC outcomes</w:t>
      </w:r>
      <w:r w:rsidR="0069375E">
        <w:t xml:space="preserve">. This will reduce the </w:t>
      </w:r>
      <w:r w:rsidR="00831F69">
        <w:t>chance of partners spending less than planned in phase 2.</w:t>
      </w:r>
      <w:r w:rsidR="00FB23FF" w:rsidRPr="003E5DE0">
        <w:t xml:space="preserve"> </w:t>
      </w:r>
    </w:p>
    <w:p w14:paraId="40561D55" w14:textId="0AC6A59C" w:rsidR="0063379E" w:rsidRDefault="00D137A9" w:rsidP="0063379E">
      <w:pPr>
        <w:pStyle w:val="Heading4"/>
      </w:pPr>
      <w:r>
        <w:t>Efficiency</w:t>
      </w:r>
    </w:p>
    <w:p w14:paraId="4749A69A" w14:textId="17F7A148" w:rsidR="004B62F9" w:rsidRPr="0063379E" w:rsidRDefault="00493B29" w:rsidP="0063379E">
      <w:pPr>
        <w:pStyle w:val="ParagraphText-unnumbered"/>
      </w:pPr>
      <w:r>
        <w:t>Although COVID-19 continues to impact</w:t>
      </w:r>
      <w:r w:rsidR="001525C7">
        <w:t xml:space="preserve"> activity, </w:t>
      </w:r>
      <w:r w:rsidR="000C7BC1">
        <w:t>grantees have continued to adapt and improve frontline activity across the programme</w:t>
      </w:r>
      <w:r w:rsidR="00FB23FF">
        <w:t xml:space="preserve"> – which is strengthening workplan implementation</w:t>
      </w:r>
      <w:r w:rsidR="000C7BC1">
        <w:t>.</w:t>
      </w:r>
      <w:r w:rsidR="000F7CCD">
        <w:t xml:space="preserve"> </w:t>
      </w:r>
      <w:r w:rsidR="00E47D72">
        <w:t xml:space="preserve">The Fleming Fund is conducting VfM reviews for every country </w:t>
      </w:r>
      <w:r w:rsidR="00A67514">
        <w:t xml:space="preserve">and </w:t>
      </w:r>
      <w:r w:rsidR="006C5BDD">
        <w:t xml:space="preserve">individual </w:t>
      </w:r>
      <w:r w:rsidR="0004299E">
        <w:t>grant</w:t>
      </w:r>
      <w:r w:rsidR="0058475E">
        <w:t>.</w:t>
      </w:r>
      <w:r w:rsidR="0004299E">
        <w:t xml:space="preserve"> </w:t>
      </w:r>
    </w:p>
    <w:p w14:paraId="29665700" w14:textId="530EB49B" w:rsidR="00B17EA8" w:rsidRPr="003E5DE0" w:rsidRDefault="00B17EA8" w:rsidP="00B17EA8">
      <w:pPr>
        <w:pStyle w:val="ParagraphText-unnumbered"/>
      </w:pPr>
      <w:r w:rsidRPr="003E5DE0">
        <w:t>The Management Agent has built up a virtually complete picture of overheads, budget utilisation, investment by types and inputs, across nearly all country and regional grants. This has enabled the identification of many examples of cost savings and tracking/ management of key unit costs and overheads throughout the life of grants.</w:t>
      </w:r>
    </w:p>
    <w:p w14:paraId="7EE993ED" w14:textId="3C4C5359" w:rsidR="0063379E" w:rsidRDefault="004D5BFB" w:rsidP="004D5BFB">
      <w:pPr>
        <w:pStyle w:val="Heading4"/>
      </w:pPr>
      <w:r>
        <w:t>Effectiveness</w:t>
      </w:r>
    </w:p>
    <w:p w14:paraId="5CC3E016" w14:textId="4728DE6A" w:rsidR="00510B08" w:rsidRDefault="00587ECA" w:rsidP="004D5BFB">
      <w:pPr>
        <w:pStyle w:val="ParagraphText-unnumbered"/>
      </w:pPr>
      <w:r>
        <w:t xml:space="preserve">DHSC and the </w:t>
      </w:r>
      <w:r w:rsidR="00671C61">
        <w:t>Independent Evaluator</w:t>
      </w:r>
      <w:r>
        <w:t xml:space="preserve"> ha</w:t>
      </w:r>
      <w:r w:rsidR="00B01757">
        <w:t>s</w:t>
      </w:r>
      <w:r>
        <w:t xml:space="preserve"> assessed the Management Agent's review o</w:t>
      </w:r>
      <w:r w:rsidR="00351C38">
        <w:t>f</w:t>
      </w:r>
      <w:r>
        <w:t xml:space="preserve"> Managing for Effectiveness</w:t>
      </w:r>
      <w:r w:rsidR="00510B08">
        <w:t>,</w:t>
      </w:r>
      <w:r w:rsidR="008C441E">
        <w:t xml:space="preserve"> the recommendations</w:t>
      </w:r>
      <w:r w:rsidR="00510B08">
        <w:t xml:space="preserve"> </w:t>
      </w:r>
      <w:r w:rsidR="00407D40">
        <w:t>o</w:t>
      </w:r>
      <w:r w:rsidR="00510B08">
        <w:t>f which are being implemented</w:t>
      </w:r>
      <w:r w:rsidR="008C441E">
        <w:t xml:space="preserve">. </w:t>
      </w:r>
      <w:r w:rsidR="00BE2728">
        <w:t xml:space="preserve">The Management Agent has implemented a framework to assess the </w:t>
      </w:r>
      <w:r w:rsidR="00F52264">
        <w:t xml:space="preserve">costs and benefits </w:t>
      </w:r>
      <w:r w:rsidR="00C442DE">
        <w:t xml:space="preserve">(see above case study) </w:t>
      </w:r>
      <w:r w:rsidR="00F52264">
        <w:t>of</w:t>
      </w:r>
      <w:r w:rsidR="00BE2728">
        <w:t xml:space="preserve"> national AMR surveillance system</w:t>
      </w:r>
      <w:r w:rsidR="00F52264">
        <w:t>s</w:t>
      </w:r>
      <w:r w:rsidR="00BE2728">
        <w:t xml:space="preserve"> </w:t>
      </w:r>
      <w:r w:rsidR="00BE2728" w:rsidRPr="00BE2728">
        <w:t>based</w:t>
      </w:r>
      <w:r w:rsidR="00BE2728">
        <w:t xml:space="preserve"> </w:t>
      </w:r>
      <w:r w:rsidR="00BE2728" w:rsidRPr="00BE2728">
        <w:t>on</w:t>
      </w:r>
      <w:r w:rsidR="00BE2728">
        <w:t xml:space="preserve"> </w:t>
      </w:r>
      <w:r w:rsidR="00BE2728" w:rsidRPr="00BE2728">
        <w:t>Fleming</w:t>
      </w:r>
      <w:r w:rsidR="00BE2728">
        <w:t xml:space="preserve"> </w:t>
      </w:r>
      <w:r w:rsidR="00BE2728" w:rsidRPr="00BE2728">
        <w:t>Fund</w:t>
      </w:r>
      <w:r w:rsidR="00BE2728">
        <w:t xml:space="preserve"> </w:t>
      </w:r>
      <w:r w:rsidR="00BE2728" w:rsidRPr="00BE2728">
        <w:t>country</w:t>
      </w:r>
      <w:r w:rsidR="00BE2728">
        <w:t xml:space="preserve"> </w:t>
      </w:r>
      <w:r w:rsidR="00BE2728" w:rsidRPr="00BE2728">
        <w:t>experience</w:t>
      </w:r>
      <w:r w:rsidR="00BE2728">
        <w:t xml:space="preserve"> </w:t>
      </w:r>
      <w:r w:rsidR="00BE2728" w:rsidRPr="00BE2728">
        <w:t>to</w:t>
      </w:r>
      <w:r w:rsidR="00BE2728">
        <w:t xml:space="preserve"> </w:t>
      </w:r>
      <w:r w:rsidR="00BE2728" w:rsidRPr="00BE2728">
        <w:t>date</w:t>
      </w:r>
      <w:r w:rsidR="00714AC3">
        <w:t>.</w:t>
      </w:r>
      <w:r w:rsidR="00510B08" w:rsidRPr="00510B08">
        <w:t xml:space="preserve"> </w:t>
      </w:r>
    </w:p>
    <w:p w14:paraId="6EE61EFF" w14:textId="1FE9B11F" w:rsidR="00E34F57" w:rsidRPr="003E5DE0" w:rsidRDefault="003D08C9" w:rsidP="004D5BFB">
      <w:pPr>
        <w:pStyle w:val="ParagraphText-unnumbered"/>
      </w:pPr>
      <w:r w:rsidRPr="001A2C25">
        <w:rPr>
          <w:noProof/>
        </w:rPr>
        <w:lastRenderedPageBreak/>
        <mc:AlternateContent>
          <mc:Choice Requires="wps">
            <w:drawing>
              <wp:anchor distT="45720" distB="45720" distL="114300" distR="114300" simplePos="0" relativeHeight="251658243" behindDoc="0" locked="0" layoutInCell="1" allowOverlap="1" wp14:anchorId="1B313AC8" wp14:editId="3DA75F7B">
                <wp:simplePos x="0" y="0"/>
                <wp:positionH relativeFrom="margin">
                  <wp:posOffset>202565</wp:posOffset>
                </wp:positionH>
                <wp:positionV relativeFrom="paragraph">
                  <wp:posOffset>1857</wp:posOffset>
                </wp:positionV>
                <wp:extent cx="5692775" cy="4579620"/>
                <wp:effectExtent l="0" t="0" r="22225" b="1143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4579620"/>
                        </a:xfrm>
                        <a:prstGeom prst="rect">
                          <a:avLst/>
                        </a:prstGeom>
                        <a:solidFill>
                          <a:schemeClr val="tx2">
                            <a:lumMod val="20000"/>
                            <a:lumOff val="80000"/>
                          </a:schemeClr>
                        </a:solidFill>
                        <a:ln w="9525">
                          <a:solidFill>
                            <a:srgbClr val="000000"/>
                          </a:solidFill>
                          <a:miter lim="800000"/>
                          <a:headEnd/>
                          <a:tailEnd/>
                        </a:ln>
                      </wps:spPr>
                      <wps:txbx>
                        <w:txbxContent>
                          <w:p w14:paraId="7E376FAE" w14:textId="77777777" w:rsidR="004519E0" w:rsidRPr="003E5DE0" w:rsidRDefault="004519E0" w:rsidP="004B62F9">
                            <w:pPr>
                              <w:pStyle w:val="Heading4"/>
                            </w:pPr>
                            <w:r w:rsidRPr="003E5DE0">
                              <w:t>Case Study: The Framework</w:t>
                            </w:r>
                            <w:r w:rsidR="00790CD8">
                              <w:t xml:space="preserve"> for assessing costs and benefits</w:t>
                            </w:r>
                          </w:p>
                          <w:p w14:paraId="2FC45C4D" w14:textId="77777777" w:rsidR="00FA7FA0" w:rsidRPr="003E5DE0" w:rsidRDefault="00B22B5A" w:rsidP="004B62F9">
                            <w:pPr>
                              <w:pStyle w:val="ParagraphText-unnumbered"/>
                            </w:pPr>
                            <w:r w:rsidRPr="003E5DE0">
                              <w:t>The Fleming Fund wanted to understand the true cost of establishing AMR surveillance in LMICs</w:t>
                            </w:r>
                            <w:r w:rsidR="00FA7FA0" w:rsidRPr="003E5DE0">
                              <w:t>. This would support</w:t>
                            </w:r>
                            <w:r w:rsidR="00A7783B" w:rsidRPr="003E5DE0">
                              <w:t xml:space="preserve"> sustainability of our grants in </w:t>
                            </w:r>
                            <w:r w:rsidR="00E75CF5">
                              <w:t>3</w:t>
                            </w:r>
                            <w:r w:rsidR="00E75CF5" w:rsidRPr="003E5DE0">
                              <w:t xml:space="preserve"> </w:t>
                            </w:r>
                            <w:r w:rsidR="00A7783B" w:rsidRPr="003E5DE0">
                              <w:t xml:space="preserve">ways: </w:t>
                            </w:r>
                          </w:p>
                          <w:p w14:paraId="1B15B3A4" w14:textId="77777777" w:rsidR="00A7783B" w:rsidRPr="003E5DE0" w:rsidRDefault="00E75CF5" w:rsidP="00A7783B">
                            <w:pPr>
                              <w:pStyle w:val="ListParagraph"/>
                              <w:numPr>
                                <w:ilvl w:val="0"/>
                                <w:numId w:val="30"/>
                              </w:numPr>
                            </w:pPr>
                            <w:r>
                              <w:t>i</w:t>
                            </w:r>
                            <w:r w:rsidR="00A7783B" w:rsidRPr="003E5DE0">
                              <w:t xml:space="preserve">mproving knowledge on the </w:t>
                            </w:r>
                            <w:r w:rsidR="00A7783B" w:rsidRPr="003E5DE0">
                              <w:rPr>
                                <w:u w:val="single"/>
                              </w:rPr>
                              <w:t>costs</w:t>
                            </w:r>
                            <w:r w:rsidR="00A7783B" w:rsidRPr="003E5DE0">
                              <w:t xml:space="preserve"> of sustaining AMR surveillance systems – including on the broader health system</w:t>
                            </w:r>
                          </w:p>
                          <w:p w14:paraId="2A9960DD" w14:textId="77777777" w:rsidR="00A7783B" w:rsidRPr="003E5DE0" w:rsidRDefault="00E75CF5" w:rsidP="00A7783B">
                            <w:pPr>
                              <w:pStyle w:val="ListParagraph"/>
                              <w:numPr>
                                <w:ilvl w:val="0"/>
                                <w:numId w:val="30"/>
                              </w:numPr>
                            </w:pPr>
                            <w:r>
                              <w:t>i</w:t>
                            </w:r>
                            <w:r w:rsidR="00A7783B" w:rsidRPr="003E5DE0">
                              <w:t xml:space="preserve">mproving knowledge on the funding streams involved in AMR surveillance systems </w:t>
                            </w:r>
                          </w:p>
                          <w:p w14:paraId="5925C04C" w14:textId="77777777" w:rsidR="00BA5713" w:rsidRPr="003E5DE0" w:rsidRDefault="00E75CF5" w:rsidP="00A7783B">
                            <w:pPr>
                              <w:pStyle w:val="ListParagraph"/>
                              <w:numPr>
                                <w:ilvl w:val="0"/>
                                <w:numId w:val="30"/>
                              </w:numPr>
                            </w:pPr>
                            <w:r>
                              <w:t>p</w:t>
                            </w:r>
                            <w:r w:rsidR="00A7783B" w:rsidRPr="003E5DE0">
                              <w:t>roviding a comprehensive account of the potential benefits linked to AMR surveillance</w:t>
                            </w:r>
                          </w:p>
                          <w:p w14:paraId="184EFE6D" w14:textId="77777777" w:rsidR="00BA5713" w:rsidRPr="003E5DE0" w:rsidRDefault="00BA5713" w:rsidP="00BA5713">
                            <w:r w:rsidRPr="003E5DE0">
                              <w:t xml:space="preserve">A core objective of the framework is to </w:t>
                            </w:r>
                            <w:r w:rsidR="00A7783B" w:rsidRPr="003E5DE0">
                              <w:t xml:space="preserve">support </w:t>
                            </w:r>
                            <w:r w:rsidRPr="003E5DE0">
                              <w:t xml:space="preserve">the development of </w:t>
                            </w:r>
                            <w:r w:rsidR="00A7783B" w:rsidRPr="003E5DE0">
                              <w:t xml:space="preserve">business cases and </w:t>
                            </w:r>
                            <w:r w:rsidRPr="003E5DE0">
                              <w:t xml:space="preserve">ultimately facilitate </w:t>
                            </w:r>
                            <w:r w:rsidR="00A7783B" w:rsidRPr="003E5DE0">
                              <w:t xml:space="preserve">investment by other donors and local </w:t>
                            </w:r>
                            <w:r w:rsidRPr="003E5DE0">
                              <w:t>ministries</w:t>
                            </w:r>
                            <w:r w:rsidR="00A7783B" w:rsidRPr="003E5DE0">
                              <w:t>.</w:t>
                            </w:r>
                          </w:p>
                          <w:p w14:paraId="298354C5" w14:textId="77777777" w:rsidR="00A7783B" w:rsidRPr="003E5DE0" w:rsidRDefault="00A7783B" w:rsidP="00BA5713">
                            <w:r w:rsidRPr="003E5DE0">
                              <w:t xml:space="preserve">  </w:t>
                            </w:r>
                          </w:p>
                          <w:p w14:paraId="2E57D3BF" w14:textId="77777777" w:rsidR="00A7783B" w:rsidRPr="003E5DE0" w:rsidRDefault="00B22B5A" w:rsidP="00A7783B">
                            <w:r w:rsidRPr="003E5DE0">
                              <w:t>A pilot was established in Uganda</w:t>
                            </w:r>
                            <w:r w:rsidR="00BA5713" w:rsidRPr="003E5DE0">
                              <w:t>, led by the country grantee, with technical support from the Management Agent</w:t>
                            </w:r>
                            <w:r w:rsidRPr="003E5DE0">
                              <w:t xml:space="preserve"> which evaluate</w:t>
                            </w:r>
                            <w:r w:rsidR="00A7783B" w:rsidRPr="003E5DE0">
                              <w:t>d</w:t>
                            </w:r>
                            <w:r w:rsidRPr="003E5DE0">
                              <w:t xml:space="preserve"> the </w:t>
                            </w:r>
                            <w:r w:rsidR="00A7783B" w:rsidRPr="003E5DE0">
                              <w:t xml:space="preserve">holistic </w:t>
                            </w:r>
                            <w:r w:rsidRPr="003E5DE0">
                              <w:t>costs associated with AMR surveillance and assess</w:t>
                            </w:r>
                            <w:r w:rsidR="00A7783B" w:rsidRPr="003E5DE0">
                              <w:t>ed</w:t>
                            </w:r>
                            <w:r w:rsidRPr="003E5DE0">
                              <w:t xml:space="preserve"> the prospective</w:t>
                            </w:r>
                            <w:r w:rsidR="00A7783B" w:rsidRPr="003E5DE0">
                              <w:t xml:space="preserve"> benefits.  </w:t>
                            </w:r>
                          </w:p>
                          <w:p w14:paraId="7A63197B" w14:textId="77777777" w:rsidR="00A7783B" w:rsidRPr="003E5DE0" w:rsidRDefault="00A7783B" w:rsidP="00A7783B"/>
                          <w:p w14:paraId="46D56E62" w14:textId="77777777" w:rsidR="004519E0" w:rsidRPr="003E5DE0" w:rsidRDefault="00A7783B" w:rsidP="004B62F9">
                            <w:pPr>
                              <w:pStyle w:val="ParagraphText-unnumbered"/>
                            </w:pPr>
                            <w:r w:rsidRPr="003E5DE0">
                              <w:t xml:space="preserve">In March 2022 a draft of this Framework was presented to a stakeholder group which included the OECD and World Bank. The consensus was that this Framework had strong impact potential and should be rolled out in phase 2, while aligning to broader cost/benefit initiatives.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13AC8" id="_x0000_s1028" type="#_x0000_t202" style="position:absolute;margin-left:15.95pt;margin-top:.15pt;width:448.25pt;height:360.6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" fillcolor="#dfdfe0 [671]">
                <v:textbox>
                  <w:txbxContent>
                    <w:p w14:paraId="7E376FAE" w14:textId="77777777" w:rsidR="004519E0" w:rsidRPr="003E5DE0" w:rsidRDefault="004519E0" w:rsidP="004B62F9">
                      <w:pPr>
                        <w:pStyle w:val="Heading4"/>
                      </w:pPr>
                      <w:r w:rsidRPr="003E5DE0">
                        <w:t>Case Study: The Framework</w:t>
                      </w:r>
                      <w:r w:rsidR="00790CD8">
                        <w:t xml:space="preserve"> for assessing costs and benefits</w:t>
                      </w:r>
                    </w:p>
                    <w:p w14:paraId="2FC45C4D" w14:textId="77777777" w:rsidR="00FA7FA0" w:rsidRPr="003E5DE0" w:rsidRDefault="00B22B5A" w:rsidP="004B62F9">
                      <w:pPr>
                        <w:pStyle w:val="ParagraphText-unnumbered"/>
                      </w:pPr>
                      <w:r w:rsidRPr="003E5DE0">
                        <w:t>The Fleming Fund wanted to understand the true cost of establishing AMR surveillance in LMICs</w:t>
                      </w:r>
                      <w:r w:rsidR="00FA7FA0" w:rsidRPr="003E5DE0">
                        <w:t>. This would support</w:t>
                      </w:r>
                      <w:r w:rsidR="00A7783B" w:rsidRPr="003E5DE0">
                        <w:t xml:space="preserve"> sustainability of our grants in </w:t>
                      </w:r>
                      <w:r w:rsidR="00E75CF5">
                        <w:t>3</w:t>
                      </w:r>
                      <w:r w:rsidR="00E75CF5" w:rsidRPr="003E5DE0">
                        <w:t xml:space="preserve"> </w:t>
                      </w:r>
                      <w:r w:rsidR="00A7783B" w:rsidRPr="003E5DE0">
                        <w:t xml:space="preserve">ways: </w:t>
                      </w:r>
                    </w:p>
                    <w:p w14:paraId="1B15B3A4" w14:textId="77777777" w:rsidR="00A7783B" w:rsidRPr="003E5DE0" w:rsidRDefault="00E75CF5" w:rsidP="00A7783B">
                      <w:pPr>
                        <w:pStyle w:val="ListParagraph"/>
                        <w:numPr>
                          <w:ilvl w:val="0"/>
                          <w:numId w:val="30"/>
                        </w:numPr>
                      </w:pPr>
                      <w:r>
                        <w:t>i</w:t>
                      </w:r>
                      <w:r w:rsidR="00A7783B" w:rsidRPr="003E5DE0">
                        <w:t xml:space="preserve">mproving knowledge on the </w:t>
                      </w:r>
                      <w:r w:rsidR="00A7783B" w:rsidRPr="003E5DE0">
                        <w:rPr>
                          <w:u w:val="single"/>
                        </w:rPr>
                        <w:t>costs</w:t>
                      </w:r>
                      <w:r w:rsidR="00A7783B" w:rsidRPr="003E5DE0">
                        <w:t xml:space="preserve"> of sustaining AMR surveillance systems – including on the broader health system</w:t>
                      </w:r>
                    </w:p>
                    <w:p w14:paraId="2A9960DD" w14:textId="77777777" w:rsidR="00A7783B" w:rsidRPr="003E5DE0" w:rsidRDefault="00E75CF5" w:rsidP="00A7783B">
                      <w:pPr>
                        <w:pStyle w:val="ListParagraph"/>
                        <w:numPr>
                          <w:ilvl w:val="0"/>
                          <w:numId w:val="30"/>
                        </w:numPr>
                      </w:pPr>
                      <w:r>
                        <w:t>i</w:t>
                      </w:r>
                      <w:r w:rsidR="00A7783B" w:rsidRPr="003E5DE0">
                        <w:t xml:space="preserve">mproving knowledge on the funding streams involved in AMR surveillance systems </w:t>
                      </w:r>
                    </w:p>
                    <w:p w14:paraId="5925C04C" w14:textId="77777777" w:rsidR="00BA5713" w:rsidRPr="003E5DE0" w:rsidRDefault="00E75CF5" w:rsidP="00A7783B">
                      <w:pPr>
                        <w:pStyle w:val="ListParagraph"/>
                        <w:numPr>
                          <w:ilvl w:val="0"/>
                          <w:numId w:val="30"/>
                        </w:numPr>
                      </w:pPr>
                      <w:r>
                        <w:t>p</w:t>
                      </w:r>
                      <w:r w:rsidR="00A7783B" w:rsidRPr="003E5DE0">
                        <w:t>roviding a comprehensive account of the potential benefits linked to AMR surveillance</w:t>
                      </w:r>
                    </w:p>
                    <w:p w14:paraId="184EFE6D" w14:textId="77777777" w:rsidR="00BA5713" w:rsidRPr="003E5DE0" w:rsidRDefault="00BA5713" w:rsidP="00BA5713">
                      <w:r w:rsidRPr="003E5DE0">
                        <w:t xml:space="preserve">A core objective of the framework is to </w:t>
                      </w:r>
                      <w:r w:rsidR="00A7783B" w:rsidRPr="003E5DE0">
                        <w:t xml:space="preserve">support </w:t>
                      </w:r>
                      <w:r w:rsidRPr="003E5DE0">
                        <w:t xml:space="preserve">the development of </w:t>
                      </w:r>
                      <w:r w:rsidR="00A7783B" w:rsidRPr="003E5DE0">
                        <w:t xml:space="preserve">business cases and </w:t>
                      </w:r>
                      <w:r w:rsidRPr="003E5DE0">
                        <w:t xml:space="preserve">ultimately facilitate </w:t>
                      </w:r>
                      <w:r w:rsidR="00A7783B" w:rsidRPr="003E5DE0">
                        <w:t xml:space="preserve">investment by other donors and local </w:t>
                      </w:r>
                      <w:r w:rsidRPr="003E5DE0">
                        <w:t>ministries</w:t>
                      </w:r>
                      <w:r w:rsidR="00A7783B" w:rsidRPr="003E5DE0">
                        <w:t>.</w:t>
                      </w:r>
                    </w:p>
                    <w:p w14:paraId="298354C5" w14:textId="77777777" w:rsidR="00A7783B" w:rsidRPr="003E5DE0" w:rsidRDefault="00A7783B" w:rsidP="00BA5713">
                      <w:r w:rsidRPr="003E5DE0">
                        <w:t xml:space="preserve">  </w:t>
                      </w:r>
                    </w:p>
                    <w:p w14:paraId="2E57D3BF" w14:textId="77777777" w:rsidR="00A7783B" w:rsidRPr="003E5DE0" w:rsidRDefault="00B22B5A" w:rsidP="00A7783B">
                      <w:r w:rsidRPr="003E5DE0">
                        <w:t>A pilot was established in Uganda</w:t>
                      </w:r>
                      <w:r w:rsidR="00BA5713" w:rsidRPr="003E5DE0">
                        <w:t>, led by the country grantee, with technical support from the Management Agent</w:t>
                      </w:r>
                      <w:r w:rsidRPr="003E5DE0">
                        <w:t xml:space="preserve"> which evaluate</w:t>
                      </w:r>
                      <w:r w:rsidR="00A7783B" w:rsidRPr="003E5DE0">
                        <w:t>d</w:t>
                      </w:r>
                      <w:r w:rsidRPr="003E5DE0">
                        <w:t xml:space="preserve"> the </w:t>
                      </w:r>
                      <w:r w:rsidR="00A7783B" w:rsidRPr="003E5DE0">
                        <w:t xml:space="preserve">holistic </w:t>
                      </w:r>
                      <w:r w:rsidRPr="003E5DE0">
                        <w:t>costs associated with AMR surveillance and assess</w:t>
                      </w:r>
                      <w:r w:rsidR="00A7783B" w:rsidRPr="003E5DE0">
                        <w:t>ed</w:t>
                      </w:r>
                      <w:r w:rsidRPr="003E5DE0">
                        <w:t xml:space="preserve"> the prospective</w:t>
                      </w:r>
                      <w:r w:rsidR="00A7783B" w:rsidRPr="003E5DE0">
                        <w:t xml:space="preserve"> benefits.  </w:t>
                      </w:r>
                    </w:p>
                    <w:p w14:paraId="7A63197B" w14:textId="77777777" w:rsidR="00A7783B" w:rsidRPr="003E5DE0" w:rsidRDefault="00A7783B" w:rsidP="00A7783B"/>
                    <w:p w14:paraId="46D56E62" w14:textId="77777777" w:rsidR="004519E0" w:rsidRPr="003E5DE0" w:rsidRDefault="00A7783B" w:rsidP="004B62F9">
                      <w:pPr>
                        <w:pStyle w:val="ParagraphText-unnumbered"/>
                      </w:pPr>
                      <w:r w:rsidRPr="003E5DE0">
                        <w:t xml:space="preserve">In March 2022 a draft of this Framework was presented to a stakeholder group which included the OECD and World Bank. The consensus was that this Framework had strong impact potential and should be rolled out in phase 2, while aligning to broader cost/benefit initiatives. </w:t>
                      </w:r>
                    </w:p>
                  </w:txbxContent>
                </v:textbox>
                <w10:wrap type="topAndBottom" anchorx="margin"/>
              </v:shape>
            </w:pict>
          </mc:Fallback>
        </mc:AlternateContent>
      </w:r>
      <w:r w:rsidR="00510B08" w:rsidRPr="003E5DE0">
        <w:t>The</w:t>
      </w:r>
      <w:r w:rsidR="00510B08" w:rsidRPr="003E5DE0" w:rsidDel="00521A25">
        <w:t xml:space="preserve"> </w:t>
      </w:r>
      <w:r w:rsidR="00521A25">
        <w:t>Fleming Fund</w:t>
      </w:r>
      <w:r w:rsidR="00521A25" w:rsidRPr="003E5DE0">
        <w:t xml:space="preserve"> </w:t>
      </w:r>
      <w:r w:rsidR="00510B08" w:rsidRPr="003E5DE0">
        <w:t>stopped a country grant in Sri Lanka that was viewed as having poor prospects for success and no longer represented VfM. The</w:t>
      </w:r>
      <w:r w:rsidR="00510B08" w:rsidRPr="003E5DE0" w:rsidDel="00521A25">
        <w:t xml:space="preserve"> </w:t>
      </w:r>
      <w:r w:rsidR="00521A25">
        <w:t>Fund</w:t>
      </w:r>
      <w:r w:rsidR="00521A25" w:rsidRPr="003E5DE0">
        <w:t xml:space="preserve"> </w:t>
      </w:r>
      <w:r w:rsidR="00510B08" w:rsidRPr="003E5DE0">
        <w:t>also</w:t>
      </w:r>
      <w:r>
        <w:t xml:space="preserve"> considered stopping</w:t>
      </w:r>
      <w:r w:rsidR="00510B08" w:rsidRPr="003E5DE0">
        <w:t xml:space="preserve"> its </w:t>
      </w:r>
      <w:r w:rsidR="001A2C25">
        <w:t>e</w:t>
      </w:r>
      <w:r w:rsidR="00510B08" w:rsidRPr="003E5DE0">
        <w:t xml:space="preserve">conomic </w:t>
      </w:r>
      <w:r w:rsidR="001A2C25">
        <w:t>f</w:t>
      </w:r>
      <w:r w:rsidR="00510B08" w:rsidRPr="003E5DE0">
        <w:t xml:space="preserve">ellowships to enable a review of the model which was having mixed results, and was disproportionately affected by COVID-19. </w:t>
      </w:r>
    </w:p>
    <w:p w14:paraId="66FDB6BC" w14:textId="65EA0558" w:rsidR="00F74741" w:rsidRPr="003E5DE0" w:rsidRDefault="00F74741" w:rsidP="00F74741">
      <w:pPr>
        <w:pStyle w:val="ParagraphText-unnumbered"/>
      </w:pPr>
      <w:r w:rsidRPr="003E5DE0">
        <w:t xml:space="preserve">The GRAM project’s campaign results underwent a rapid evaluation </w:t>
      </w:r>
      <w:r w:rsidR="00924A97">
        <w:t>by Portlan</w:t>
      </w:r>
      <w:r w:rsidR="003B16A6">
        <w:t>d, the communications agency,</w:t>
      </w:r>
      <w:r w:rsidR="00924A97">
        <w:t xml:space="preserve"> based on global level data,</w:t>
      </w:r>
      <w:r w:rsidRPr="003E5DE0">
        <w:t xml:space="preserve"> f</w:t>
      </w:r>
      <w:r w:rsidR="00BE7006">
        <w:t>inding</w:t>
      </w:r>
      <w:r w:rsidRPr="003E5DE0">
        <w:t xml:space="preserve"> evidence that there had been a “high” level of effectiveness in the following campaign objectives:  </w:t>
      </w:r>
    </w:p>
    <w:p w14:paraId="280B875A" w14:textId="1132F9EA" w:rsidR="00F74741" w:rsidRPr="00E56163" w:rsidRDefault="00F74741" w:rsidP="007F5DCD">
      <w:pPr>
        <w:pStyle w:val="Bullet"/>
      </w:pPr>
      <w:r w:rsidRPr="007F5DCD">
        <w:t>Raise awareness of</w:t>
      </w:r>
      <w:r w:rsidRPr="00371853">
        <w:t xml:space="preserve"> the dat</w:t>
      </w:r>
      <w:r w:rsidRPr="00BB1597">
        <w:t xml:space="preserve">a and </w:t>
      </w:r>
      <w:r w:rsidRPr="00E56163">
        <w:t>its value with policymakers, globally and in targeted region</w:t>
      </w:r>
      <w:r w:rsidR="00F331B8">
        <w:t>s</w:t>
      </w:r>
    </w:p>
    <w:p w14:paraId="7C14685D" w14:textId="7C623276" w:rsidR="00D072AA" w:rsidRPr="00371853" w:rsidRDefault="00F74741" w:rsidP="00371853">
      <w:pPr>
        <w:pStyle w:val="Bullet"/>
      </w:pPr>
      <w:r w:rsidRPr="007F5DCD">
        <w:t>Keep AMR high on the global health agenda in order to increase public pressure on policymakers</w:t>
      </w:r>
      <w:r w:rsidR="04BE909D">
        <w:t>.</w:t>
      </w:r>
    </w:p>
    <w:p w14:paraId="61E38144" w14:textId="6F3B1A7D" w:rsidR="00D072AA" w:rsidRPr="00F74741" w:rsidRDefault="00D072AA" w:rsidP="00574E5E">
      <w:pPr>
        <w:pStyle w:val="Boxedtext-greenborder"/>
        <w:rPr>
          <w:szCs w:val="24"/>
        </w:rPr>
      </w:pPr>
      <w:r w:rsidRPr="00574E5E">
        <w:rPr>
          <w:rStyle w:val="Bold"/>
        </w:rPr>
        <w:t>Recommendation</w:t>
      </w:r>
      <w:r w:rsidR="009F4C66">
        <w:rPr>
          <w:rStyle w:val="Bold"/>
        </w:rPr>
        <w:t xml:space="preserve"> </w:t>
      </w:r>
      <w:r w:rsidR="00282120">
        <w:rPr>
          <w:rStyle w:val="Bold"/>
        </w:rPr>
        <w:t>6</w:t>
      </w:r>
      <w:r>
        <w:t xml:space="preserve">: </w:t>
      </w:r>
      <w:r w:rsidRPr="00D072AA">
        <w:t>Support the economic and business cases for investment in phase 2 by: a) reviewing the economic fellowship scheme in line with the principle of country ownership; b</w:t>
      </w:r>
      <w:r w:rsidRPr="00D072AA" w:rsidDel="002833D7">
        <w:t xml:space="preserve">) </w:t>
      </w:r>
      <w:r w:rsidR="002833D7">
        <w:t>supporting</w:t>
      </w:r>
      <w:r w:rsidRPr="00D072AA">
        <w:t xml:space="preserve"> the rollout of the Framework </w:t>
      </w:r>
      <w:r w:rsidR="0091745D" w:rsidRPr="0091745D">
        <w:t>for assessing costs and benefits of AMR surveillance</w:t>
      </w:r>
      <w:r w:rsidRPr="00D072AA">
        <w:t xml:space="preserve"> as a core component of the country grants</w:t>
      </w:r>
      <w:r w:rsidR="0091745D" w:rsidRPr="0091745D">
        <w:t xml:space="preserve"> throughout phase 2</w:t>
      </w:r>
      <w:r w:rsidRPr="00D072AA">
        <w:t>.</w:t>
      </w:r>
    </w:p>
    <w:p w14:paraId="15A8BCCF" w14:textId="5D93B94F" w:rsidR="004D5BFB" w:rsidRDefault="004D5BFB" w:rsidP="004D5BFB">
      <w:pPr>
        <w:pStyle w:val="Heading4"/>
      </w:pPr>
      <w:r>
        <w:lastRenderedPageBreak/>
        <w:t>Equity</w:t>
      </w:r>
    </w:p>
    <w:p w14:paraId="683D461B" w14:textId="3FF59EAD" w:rsidR="00FF541E" w:rsidRDefault="00554892" w:rsidP="00554892">
      <w:pPr>
        <w:pStyle w:val="ParagraphText-unnumbered"/>
      </w:pPr>
      <w:r>
        <w:t xml:space="preserve">There is </w:t>
      </w:r>
      <w:r w:rsidR="00FB23FF">
        <w:t>increasing</w:t>
      </w:r>
      <w:r>
        <w:t xml:space="preserve"> evidence that outbreaks and other health threats, including AMR, disproportionately affect women</w:t>
      </w:r>
      <w:r w:rsidR="00FB23FF" w:rsidRPr="003E5DE0">
        <w:t xml:space="preserve">, </w:t>
      </w:r>
      <w:r w:rsidR="00FB23FF" w:rsidRPr="00A5147B">
        <w:t>children</w:t>
      </w:r>
      <w:r w:rsidRPr="00A5147B">
        <w:t xml:space="preserve"> and </w:t>
      </w:r>
      <w:r w:rsidR="00FB23FF" w:rsidRPr="00A5147B">
        <w:t>those living in poverty</w:t>
      </w:r>
      <w:r w:rsidR="00F74741" w:rsidRPr="00A5147B">
        <w:t xml:space="preserve"> and regions affected by conflict</w:t>
      </w:r>
      <w:r w:rsidR="00870533">
        <w:rPr>
          <w:rStyle w:val="FootnoteReference"/>
        </w:rPr>
        <w:footnoteReference w:id="4"/>
      </w:r>
      <w:r w:rsidRPr="003E5DE0">
        <w:t xml:space="preserve">. The Fleming Fund has introduced "gender and equity" as a fifth core principle, placing equity at the forefront of phase </w:t>
      </w:r>
      <w:r>
        <w:t xml:space="preserve">2 activities within the programme. This </w:t>
      </w:r>
      <w:r w:rsidR="00FB23FF">
        <w:t>is being</w:t>
      </w:r>
      <w:r>
        <w:t xml:space="preserve"> taken forward through a gender and equity workplan, and this principle is being embedded in all </w:t>
      </w:r>
      <w:r w:rsidR="00D35246">
        <w:t>p</w:t>
      </w:r>
      <w:r>
        <w:t xml:space="preserve">hase </w:t>
      </w:r>
      <w:r w:rsidR="00D35246">
        <w:t>2</w:t>
      </w:r>
      <w:r>
        <w:t xml:space="preserve"> design proposals and in our evaluation approach </w:t>
      </w:r>
      <w:r w:rsidR="00D71252">
        <w:t xml:space="preserve">in </w:t>
      </w:r>
      <w:r w:rsidR="00F86D1F">
        <w:t>the next phase</w:t>
      </w:r>
      <w:r>
        <w:t xml:space="preserve">. </w:t>
      </w:r>
    </w:p>
    <w:p w14:paraId="3834E06A" w14:textId="6E55F8DB" w:rsidR="00FB23FF" w:rsidRDefault="00A95054" w:rsidP="00554892">
      <w:pPr>
        <w:pStyle w:val="ParagraphText-unnumbered"/>
      </w:pPr>
      <w:r w:rsidRPr="00A95054">
        <w:t xml:space="preserve">This commitment </w:t>
      </w:r>
      <w:r w:rsidR="003A48AD">
        <w:t xml:space="preserve">to gender and equity </w:t>
      </w:r>
      <w:r w:rsidRPr="00A95054">
        <w:t xml:space="preserve">is already </w:t>
      </w:r>
      <w:r w:rsidR="00043DD6">
        <w:t>evident</w:t>
      </w:r>
      <w:r w:rsidRPr="00A95054">
        <w:t xml:space="preserve"> </w:t>
      </w:r>
      <w:r w:rsidR="00043DD6">
        <w:t>in</w:t>
      </w:r>
      <w:r w:rsidRPr="00A95054">
        <w:t xml:space="preserve"> the Fellowships scheme, </w:t>
      </w:r>
      <w:r w:rsidR="00043DD6">
        <w:t>with</w:t>
      </w:r>
      <w:r w:rsidRPr="00A95054">
        <w:t xml:space="preserve"> 49% of cohort 1 fellows </w:t>
      </w:r>
      <w:r w:rsidR="00043DD6">
        <w:t>being</w:t>
      </w:r>
      <w:r w:rsidRPr="00A95054">
        <w:t xml:space="preserve"> women, including the AMR surveillance and focal person for the National Public Health Authority in Kenya, who is one of only </w:t>
      </w:r>
      <w:r w:rsidR="00494818">
        <w:t>2</w:t>
      </w:r>
      <w:r w:rsidR="00494818" w:rsidRPr="00A95054">
        <w:t xml:space="preserve"> </w:t>
      </w:r>
      <w:r w:rsidRPr="00A95054">
        <w:t>people who can report to GLASS</w:t>
      </w:r>
      <w:r w:rsidR="00FF541E">
        <w:t xml:space="preserve">. </w:t>
      </w:r>
      <w:r w:rsidR="00FB23FF">
        <w:t>The GRAM project will help to improve the understanding of the relative burden of AMR by sex, location and age group.</w:t>
      </w:r>
    </w:p>
    <w:p w14:paraId="35E847A8" w14:textId="3816C01B" w:rsidR="00554892" w:rsidRDefault="00554892" w:rsidP="00554892">
      <w:pPr>
        <w:pStyle w:val="ParagraphText-unnumbered"/>
      </w:pPr>
      <w:r>
        <w:t xml:space="preserve">In addition, the Fleming Fund has produced a full report to assess available mechanisms for gathering metadata on all groups (socio-economic, geographic and gender). This will enable the Fund to catalyse change globally and in specific contexts, leading to more focused policy making and clinical practice on AMR for disadvantaged groups globally. </w:t>
      </w:r>
    </w:p>
    <w:p w14:paraId="0B11C811" w14:textId="573382A7" w:rsidR="004D5BFB" w:rsidRDefault="00AA5AB4" w:rsidP="004D5BFB">
      <w:pPr>
        <w:pStyle w:val="Heading3"/>
      </w:pPr>
      <w:r>
        <w:t xml:space="preserve">7.2 </w:t>
      </w:r>
      <w:r w:rsidR="004D5BFB">
        <w:t xml:space="preserve">Quality of financial management </w:t>
      </w:r>
    </w:p>
    <w:p w14:paraId="79268874" w14:textId="55B457E4" w:rsidR="00842AB6" w:rsidRDefault="00842AB6" w:rsidP="00E757B9">
      <w:pPr>
        <w:pStyle w:val="ParagraphText-unnumbered"/>
      </w:pPr>
      <w:r w:rsidRPr="00842AB6">
        <w:t xml:space="preserve">The GHS programme team have strengthened the spot check process to both prevent and monitor fraud risk. </w:t>
      </w:r>
      <w:r w:rsidR="000A783C">
        <w:t xml:space="preserve">To mitigate the risk to DHSC of loss or misuse of funds </w:t>
      </w:r>
      <w:r w:rsidR="008A320E">
        <w:t>across the portfolio of ountry and regional grants and fellowships</w:t>
      </w:r>
      <w:r w:rsidR="000A783C">
        <w:t xml:space="preserve"> the Management Agent</w:t>
      </w:r>
      <w:r w:rsidR="00DD022E">
        <w:t xml:space="preserve"> (MA)</w:t>
      </w:r>
      <w:r w:rsidR="000A783C">
        <w:t xml:space="preserve"> contract includes a £50 m</w:t>
      </w:r>
      <w:r w:rsidR="00DF12FB">
        <w:t>i</w:t>
      </w:r>
      <w:r w:rsidR="000A783C">
        <w:t xml:space="preserve">llion liability. </w:t>
      </w:r>
      <w:r w:rsidRPr="00842AB6">
        <w:t xml:space="preserve">At grant level, the </w:t>
      </w:r>
      <w:r w:rsidR="00DD022E">
        <w:t>MA</w:t>
      </w:r>
      <w:r w:rsidRPr="00842AB6">
        <w:t xml:space="preserve">'s regional finance managers report irregularities and then investigate further with grantees. Often, </w:t>
      </w:r>
      <w:r w:rsidR="00C9358E">
        <w:t>these irregularities are the result of</w:t>
      </w:r>
      <w:r w:rsidRPr="00842AB6">
        <w:t xml:space="preserve"> computational and/or unsupported errors in financial reports. </w:t>
      </w:r>
      <w:r w:rsidR="00DD022E">
        <w:t>All grantees undergo a rigorous assessment of financial controls, undertaken by the MA’s partner EY, and periodic assessments of financial practices and procedures.</w:t>
      </w:r>
    </w:p>
    <w:p w14:paraId="299F9CD0" w14:textId="29B3B299" w:rsidR="007311BD" w:rsidRDefault="00A07A24" w:rsidP="00E757B9">
      <w:pPr>
        <w:pStyle w:val="ParagraphText-unnumbered"/>
      </w:pPr>
      <w:r>
        <w:t>Following recommendations from the 2019 and 2020 annual reviews, the Fleming Fund has instated monthly financial repor</w:t>
      </w:r>
      <w:r w:rsidR="00087B07">
        <w:t>ting</w:t>
      </w:r>
      <w:r>
        <w:t xml:space="preserve"> and meetings with the </w:t>
      </w:r>
      <w:r w:rsidR="008725E2">
        <w:t>MA</w:t>
      </w:r>
      <w:r w:rsidR="009130E2">
        <w:t xml:space="preserve"> to discuss</w:t>
      </w:r>
      <w:r w:rsidR="00676DB1" w:rsidRPr="00676DB1">
        <w:t xml:space="preserve"> the financial forecast </w:t>
      </w:r>
      <w:r w:rsidR="00630393">
        <w:t>and any significant variances.</w:t>
      </w:r>
      <w:r w:rsidR="008801AF">
        <w:t xml:space="preserve"> </w:t>
      </w:r>
      <w:r w:rsidR="00621032">
        <w:t xml:space="preserve">The </w:t>
      </w:r>
      <w:r w:rsidR="00780E78">
        <w:t xml:space="preserve">MA also </w:t>
      </w:r>
      <w:r w:rsidR="00993648">
        <w:t>determine</w:t>
      </w:r>
      <w:r w:rsidR="008801AF">
        <w:t xml:space="preserve"> a RAG rating</w:t>
      </w:r>
      <w:r w:rsidR="00993648">
        <w:t xml:space="preserve"> for forecasted spend</w:t>
      </w:r>
      <w:r w:rsidR="008801AF">
        <w:t xml:space="preserve"> against </w:t>
      </w:r>
      <w:r w:rsidR="00993648">
        <w:t>an agreed set of criteria</w:t>
      </w:r>
      <w:r w:rsidR="00800DB6">
        <w:t xml:space="preserve"> to indicate confidence in both timing of payment and a</w:t>
      </w:r>
      <w:r w:rsidR="00D41610">
        <w:t>mount</w:t>
      </w:r>
      <w:r w:rsidR="00800DB6">
        <w:t>. This has improve</w:t>
      </w:r>
      <w:r w:rsidR="00780E78">
        <w:t>d</w:t>
      </w:r>
      <w:r w:rsidR="00800DB6">
        <w:t xml:space="preserve"> the Fleming Fund's </w:t>
      </w:r>
      <w:r w:rsidR="008435D7">
        <w:t>forecasting</w:t>
      </w:r>
      <w:r w:rsidR="009135CF">
        <w:t>, aided trouble-shooting</w:t>
      </w:r>
      <w:r w:rsidR="00800DB6">
        <w:t xml:space="preserve"> and </w:t>
      </w:r>
      <w:r w:rsidR="00A251B9">
        <w:t>helps to anticipate underspend/overspend.</w:t>
      </w:r>
    </w:p>
    <w:p w14:paraId="18598AB8" w14:textId="77777777" w:rsidR="00674A7A" w:rsidRDefault="0042703D" w:rsidP="00E757B9">
      <w:pPr>
        <w:pStyle w:val="ParagraphText-unnumbered"/>
      </w:pPr>
      <w:r>
        <w:t xml:space="preserve">In 2021 we saw a reduction in the </w:t>
      </w:r>
      <w:r w:rsidR="00811FDE">
        <w:t xml:space="preserve">MA </w:t>
      </w:r>
      <w:r>
        <w:t>variance in spend against forecast when compared with previous years</w:t>
      </w:r>
      <w:r w:rsidR="00811FDE">
        <w:t>. However</w:t>
      </w:r>
      <w:r w:rsidR="001E016E">
        <w:t>,</w:t>
      </w:r>
      <w:r w:rsidR="00811FDE">
        <w:t xml:space="preserve"> there was still underspend </w:t>
      </w:r>
      <w:r w:rsidR="00EB3062">
        <w:t xml:space="preserve">at the end of </w:t>
      </w:r>
      <w:r w:rsidR="004E1A86">
        <w:t>f</w:t>
      </w:r>
      <w:r w:rsidR="00EB3062">
        <w:t>inancial</w:t>
      </w:r>
      <w:r w:rsidR="004E1A86">
        <w:t xml:space="preserve"> year 21/22. Much of this is due to </w:t>
      </w:r>
      <w:r w:rsidR="001937B9">
        <w:t xml:space="preserve">the impact of COVID-19 but also the </w:t>
      </w:r>
      <w:r w:rsidR="004E1A86">
        <w:t xml:space="preserve">ongoing challenges with </w:t>
      </w:r>
      <w:r w:rsidR="001E016E">
        <w:lastRenderedPageBreak/>
        <w:t xml:space="preserve">the accuracy of </w:t>
      </w:r>
      <w:r w:rsidR="001433DD">
        <w:t>financial forecasting of some grantees and Host Institutions</w:t>
      </w:r>
      <w:r w:rsidR="0084682D">
        <w:t xml:space="preserve"> due </w:t>
      </w:r>
      <w:r w:rsidR="00FE333D">
        <w:t xml:space="preserve">in part </w:t>
      </w:r>
      <w:r w:rsidR="0084682D">
        <w:t xml:space="preserve">to a lack of </w:t>
      </w:r>
      <w:r w:rsidR="000629D2">
        <w:t>financial</w:t>
      </w:r>
      <w:r w:rsidR="00DD2394">
        <w:t xml:space="preserve"> capabilities in some of these organisations</w:t>
      </w:r>
      <w:r w:rsidR="001433DD">
        <w:t xml:space="preserve">. </w:t>
      </w:r>
      <w:r w:rsidR="00DD2394">
        <w:t xml:space="preserve">The MA are working with their downstream grantees to </w:t>
      </w:r>
      <w:r w:rsidR="000629D2">
        <w:t xml:space="preserve">improve financial reporting by making improvements to </w:t>
      </w:r>
      <w:r w:rsidR="001937B9">
        <w:t xml:space="preserve">the reporting systems and templates </w:t>
      </w:r>
      <w:r w:rsidR="000629D2">
        <w:t xml:space="preserve">and the associated guidance. </w:t>
      </w:r>
      <w:r w:rsidR="00993B84">
        <w:t xml:space="preserve">The </w:t>
      </w:r>
      <w:r w:rsidR="00A04070">
        <w:t xml:space="preserve">MA are also </w:t>
      </w:r>
      <w:r w:rsidR="005520D0">
        <w:t xml:space="preserve">improving their ability to factor in the </w:t>
      </w:r>
      <w:r w:rsidR="005C7136">
        <w:t xml:space="preserve">fluctuations in forecasts from downstream grantees </w:t>
      </w:r>
      <w:r w:rsidR="00993B84">
        <w:t xml:space="preserve">and ensure this is reflected in the financial updates provided to DHSC. </w:t>
      </w:r>
    </w:p>
    <w:p w14:paraId="0EF6136B" w14:textId="3E2B6A58" w:rsidR="008D0100" w:rsidRDefault="002D7F5B" w:rsidP="00E757B9">
      <w:pPr>
        <w:pStyle w:val="ParagraphText-unnumbered"/>
      </w:pPr>
      <w:r>
        <w:t>Th</w:t>
      </w:r>
      <w:r w:rsidR="00993B84">
        <w:t xml:space="preserve">ese challenges are </w:t>
      </w:r>
      <w:r>
        <w:t xml:space="preserve">also </w:t>
      </w:r>
      <w:r w:rsidR="001E016E">
        <w:t>evident</w:t>
      </w:r>
      <w:r>
        <w:t xml:space="preserve"> in </w:t>
      </w:r>
      <w:r w:rsidR="00767AEB">
        <w:t>fin</w:t>
      </w:r>
      <w:r w:rsidR="00EF47EA">
        <w:t>an</w:t>
      </w:r>
      <w:r w:rsidR="00767AEB">
        <w:t>cial reporting from other partners where we saw underspends against forecasts at the end of fin</w:t>
      </w:r>
      <w:r w:rsidR="00EF47EA">
        <w:t>an</w:t>
      </w:r>
      <w:r w:rsidR="00767AEB">
        <w:t>cial year 21/22</w:t>
      </w:r>
      <w:r w:rsidR="00643ABF">
        <w:t>. F</w:t>
      </w:r>
      <w:r>
        <w:t xml:space="preserve">or </w:t>
      </w:r>
      <w:r w:rsidR="003E071F">
        <w:t>example,</w:t>
      </w:r>
      <w:r>
        <w:t xml:space="preserve"> we saw underspends in the </w:t>
      </w:r>
      <w:r w:rsidR="001E016E">
        <w:t>budget for the CwPAMS scheme.</w:t>
      </w:r>
      <w:r w:rsidR="00643ABF">
        <w:t xml:space="preserve"> THET</w:t>
      </w:r>
      <w:r w:rsidR="134EDE59">
        <w:t>,</w:t>
      </w:r>
      <w:r w:rsidR="00643ABF">
        <w:t xml:space="preserve"> </w:t>
      </w:r>
      <w:r w:rsidR="005E55D1">
        <w:t>the partner leading this activity</w:t>
      </w:r>
      <w:r w:rsidR="51814517">
        <w:t>,</w:t>
      </w:r>
      <w:r w:rsidR="005E55D1">
        <w:t xml:space="preserve"> attributed some of this underspend to COVID-19 but also to </w:t>
      </w:r>
      <w:r w:rsidR="009D1C63">
        <w:t>a lack of fin</w:t>
      </w:r>
      <w:r w:rsidR="0015104A">
        <w:t>an</w:t>
      </w:r>
      <w:r w:rsidR="009D1C63">
        <w:t xml:space="preserve">cial expertise and capabilities in </w:t>
      </w:r>
      <w:r w:rsidR="0015104A">
        <w:t xml:space="preserve">downstream grantees which made accurate forecasting and effective financial management more challenging. For 2022 and phase 2 the CwPAMS scheme will introduce </w:t>
      </w:r>
      <w:r w:rsidR="00D81141">
        <w:t>further</w:t>
      </w:r>
      <w:r w:rsidR="0015104A">
        <w:t xml:space="preserve"> guidance to support improved financial reporting and are also considering whether additional financial management support could be provided centrally by TH</w:t>
      </w:r>
      <w:r w:rsidR="00D81141">
        <w:t xml:space="preserve">ET. </w:t>
      </w:r>
      <w:r w:rsidR="0015104A">
        <w:t xml:space="preserve"> </w:t>
      </w:r>
      <w:r w:rsidR="001E016E">
        <w:t xml:space="preserve"> </w:t>
      </w:r>
      <w:r w:rsidR="00EB3062">
        <w:t xml:space="preserve"> </w:t>
      </w:r>
    </w:p>
    <w:p w14:paraId="6AE0FCF3" w14:textId="736EA3AB" w:rsidR="00C83E97" w:rsidRDefault="00E83D40" w:rsidP="00E757B9">
      <w:pPr>
        <w:pStyle w:val="ParagraphText-unnumbered"/>
      </w:pPr>
      <w:r>
        <w:t xml:space="preserve">To address anticipated underspend in </w:t>
      </w:r>
      <w:r w:rsidR="00EC08F3">
        <w:t>fin</w:t>
      </w:r>
      <w:r w:rsidR="0055796A">
        <w:t>an</w:t>
      </w:r>
      <w:r w:rsidR="00EC08F3">
        <w:t>cial year 21/22 due to the impact of COVID-19</w:t>
      </w:r>
      <w:r w:rsidR="003B16A6">
        <w:t>,</w:t>
      </w:r>
      <w:r w:rsidR="00EC08F3">
        <w:t xml:space="preserve"> </w:t>
      </w:r>
      <w:r w:rsidR="00D301A7">
        <w:t xml:space="preserve">the project team </w:t>
      </w:r>
      <w:r w:rsidR="007311BD">
        <w:t xml:space="preserve">encouraged </w:t>
      </w:r>
      <w:r w:rsidR="007056D4">
        <w:t>partners</w:t>
      </w:r>
      <w:r w:rsidR="007311BD">
        <w:t xml:space="preserve"> to </w:t>
      </w:r>
      <w:r w:rsidR="00482B25">
        <w:t>p</w:t>
      </w:r>
      <w:r w:rsidR="009050B9">
        <w:t xml:space="preserve">repare </w:t>
      </w:r>
      <w:r w:rsidR="00482B25">
        <w:t xml:space="preserve">additional </w:t>
      </w:r>
      <w:r w:rsidR="0098024F">
        <w:t xml:space="preserve">pipeline </w:t>
      </w:r>
      <w:r w:rsidR="00482B25">
        <w:t xml:space="preserve">project activity that could be undertaken </w:t>
      </w:r>
      <w:r w:rsidR="005C209C">
        <w:t>in the case of emerging underspend</w:t>
      </w:r>
      <w:r w:rsidR="006A24FD">
        <w:t>.</w:t>
      </w:r>
      <w:r w:rsidR="0032292D">
        <w:t xml:space="preserve"> </w:t>
      </w:r>
      <w:r w:rsidR="00472ADC">
        <w:t>In general</w:t>
      </w:r>
      <w:r w:rsidR="003E1CE5">
        <w:t>,</w:t>
      </w:r>
      <w:r w:rsidR="00472ADC">
        <w:t xml:space="preserve"> t</w:t>
      </w:r>
      <w:r w:rsidR="0032292D">
        <w:t>his</w:t>
      </w:r>
      <w:r w:rsidR="003667A7">
        <w:t xml:space="preserve"> </w:t>
      </w:r>
      <w:r w:rsidR="008C5318">
        <w:t>has helped to reduce underspend</w:t>
      </w:r>
      <w:r w:rsidR="0032292D">
        <w:t xml:space="preserve"> </w:t>
      </w:r>
      <w:r w:rsidR="00824B9D">
        <w:t>in FY21/22</w:t>
      </w:r>
      <w:r w:rsidR="00B2016E">
        <w:t xml:space="preserve">, </w:t>
      </w:r>
      <w:r w:rsidR="0032292D">
        <w:t>for example</w:t>
      </w:r>
      <w:r w:rsidR="00DF4D9E">
        <w:t xml:space="preserve"> when the Fleming Fund </w:t>
      </w:r>
      <w:r w:rsidR="00A25529">
        <w:t xml:space="preserve">redispersed </w:t>
      </w:r>
      <w:r w:rsidR="00DF4D9E">
        <w:t xml:space="preserve">funding to the </w:t>
      </w:r>
      <w:r w:rsidR="00E12A5F">
        <w:t>WOAH</w:t>
      </w:r>
      <w:r w:rsidR="00DF4D9E">
        <w:t xml:space="preserve"> for value-add initiatives.</w:t>
      </w:r>
      <w:r w:rsidR="00096ADF">
        <w:t xml:space="preserve"> </w:t>
      </w:r>
      <w:r w:rsidR="00EE54A9">
        <w:t>T</w:t>
      </w:r>
      <w:r w:rsidR="00096ADF" w:rsidRPr="00096ADF">
        <w:t>he pro</w:t>
      </w:r>
      <w:r w:rsidR="000E7988">
        <w:t>gramme</w:t>
      </w:r>
      <w:r w:rsidR="00096ADF" w:rsidRPr="00096ADF">
        <w:t xml:space="preserve"> team will </w:t>
      </w:r>
      <w:r w:rsidR="007A69F7">
        <w:t>continue to</w:t>
      </w:r>
      <w:r w:rsidR="00096ADF" w:rsidRPr="00096ADF">
        <w:t xml:space="preserve"> work to combat optimism bias in forecasts </w:t>
      </w:r>
      <w:r w:rsidR="00EE54A9">
        <w:t xml:space="preserve">during </w:t>
      </w:r>
      <w:r w:rsidR="00AC6BA2">
        <w:t>phase 2</w:t>
      </w:r>
      <w:r w:rsidR="00444D14">
        <w:t xml:space="preserve"> </w:t>
      </w:r>
      <w:r w:rsidR="00022C9D">
        <w:t xml:space="preserve">in the attempt to mitigate against </w:t>
      </w:r>
      <w:r w:rsidR="00444D14">
        <w:t>underspend</w:t>
      </w:r>
      <w:r w:rsidR="00444D14" w:rsidRPr="00444D14">
        <w:t>.</w:t>
      </w:r>
    </w:p>
    <w:p w14:paraId="7A53CE8E" w14:textId="05801A65" w:rsidR="006B40AB" w:rsidRPr="006B40AB" w:rsidRDefault="006B40AB" w:rsidP="006B40AB">
      <w:pPr>
        <w:pStyle w:val="Boxedtext-greenborder"/>
        <w:rPr>
          <w:rStyle w:val="Bold"/>
          <w:b w:val="0"/>
          <w:bCs/>
        </w:rPr>
      </w:pPr>
      <w:r>
        <w:rPr>
          <w:rStyle w:val="Bold"/>
        </w:rPr>
        <w:t xml:space="preserve">Recommendation </w:t>
      </w:r>
      <w:r w:rsidR="00282120">
        <w:rPr>
          <w:rStyle w:val="Bold"/>
        </w:rPr>
        <w:t>7</w:t>
      </w:r>
      <w:r>
        <w:rPr>
          <w:rStyle w:val="Bold"/>
        </w:rPr>
        <w:t xml:space="preserve">: </w:t>
      </w:r>
      <w:r w:rsidR="0091745D" w:rsidRPr="0091745D">
        <w:rPr>
          <w:rStyle w:val="Bold"/>
          <w:b w:val="0"/>
          <w:bCs/>
        </w:rPr>
        <w:t>Improve financial forecasting and reporting, including: a) working with the GHS programme management office to increase the accuracy and effectiveness of finance management tools; b) working with the MA and other FF partners to effectively monitor spend and improve the accuracy of forecasting.</w:t>
      </w:r>
    </w:p>
    <w:p w14:paraId="703199AF" w14:textId="0AB91B2A" w:rsidR="0063379E" w:rsidRDefault="00A80E70" w:rsidP="002A3100">
      <w:pPr>
        <w:pStyle w:val="Heading2"/>
      </w:pPr>
      <w:bookmarkStart w:id="3" w:name="_8._Monitoring_evaluation"/>
      <w:bookmarkEnd w:id="3"/>
      <w:r>
        <w:t xml:space="preserve">8. </w:t>
      </w:r>
      <w:r w:rsidR="002A3100">
        <w:t>Monitoring evaluation and learning</w:t>
      </w:r>
    </w:p>
    <w:p w14:paraId="4F66BBFA" w14:textId="0ED14564" w:rsidR="002A3100" w:rsidRPr="002A3100" w:rsidRDefault="00A80E70" w:rsidP="002A3100">
      <w:pPr>
        <w:pStyle w:val="Heading3"/>
      </w:pPr>
      <w:r>
        <w:t xml:space="preserve">8.1 </w:t>
      </w:r>
      <w:r w:rsidR="002A3100">
        <w:t>Evaluation</w:t>
      </w:r>
    </w:p>
    <w:p w14:paraId="3FAAF96C" w14:textId="40B6FF94" w:rsidR="00567ADF" w:rsidRDefault="00885100" w:rsidP="001402FF">
      <w:pPr>
        <w:pStyle w:val="ParagraphText-unnumbered"/>
        <w:rPr>
          <w:rFonts w:eastAsiaTheme="minorHAnsi"/>
        </w:rPr>
      </w:pPr>
      <w:r>
        <w:rPr>
          <w:rFonts w:eastAsiaTheme="minorHAnsi"/>
        </w:rPr>
        <w:t xml:space="preserve">The Fleming Fund uses an adaptive management approach that continuously monitors and evaluates the programme for formative and summative purposes. </w:t>
      </w:r>
      <w:r w:rsidR="00816D46">
        <w:rPr>
          <w:rFonts w:eastAsiaTheme="minorHAnsi"/>
        </w:rPr>
        <w:t xml:space="preserve">The Global Learning on Adaptive Management initiative defines </w:t>
      </w:r>
      <w:r w:rsidR="00567ADF">
        <w:rPr>
          <w:rFonts w:eastAsiaTheme="minorHAnsi"/>
        </w:rPr>
        <w:t>adaptive management as a response to “</w:t>
      </w:r>
      <w:r w:rsidR="00567ADF">
        <w:t xml:space="preserve">complex problems that will always demand contextual learning, and … problems where </w:t>
      </w:r>
      <w:r w:rsidR="00567ADF">
        <w:lastRenderedPageBreak/>
        <w:t>the challenges faced and/or the interventions are novel and untested, and where there is little evidence for what will work in a particular context</w:t>
      </w:r>
      <w:r w:rsidR="00A13CAF">
        <w:rPr>
          <w:rFonts w:eastAsiaTheme="minorHAnsi"/>
        </w:rPr>
        <w:t>”</w:t>
      </w:r>
      <w:r w:rsidR="00567ADF">
        <w:rPr>
          <w:rFonts w:eastAsiaTheme="minorHAnsi"/>
        </w:rPr>
        <w:t>.</w:t>
      </w:r>
      <w:r w:rsidR="00567ADF">
        <w:rPr>
          <w:rStyle w:val="FootnoteReference"/>
          <w:rFonts w:eastAsiaTheme="minorHAnsi"/>
        </w:rPr>
        <w:footnoteReference w:id="5"/>
      </w:r>
    </w:p>
    <w:p w14:paraId="4C2A06D2" w14:textId="6E7C009A" w:rsidR="00652B50" w:rsidRDefault="00CD7775" w:rsidP="001402FF">
      <w:pPr>
        <w:pStyle w:val="ParagraphText-unnumbered"/>
        <w:rPr>
          <w:rFonts w:eastAsiaTheme="minorEastAsia"/>
        </w:rPr>
      </w:pPr>
      <w:r w:rsidRPr="6982AF57">
        <w:rPr>
          <w:rFonts w:eastAsiaTheme="minorEastAsia"/>
        </w:rPr>
        <w:t>In March</w:t>
      </w:r>
      <w:r w:rsidR="006222F9" w:rsidRPr="6982AF57">
        <w:rPr>
          <w:rFonts w:eastAsiaTheme="minorEastAsia"/>
        </w:rPr>
        <w:t xml:space="preserve"> 2021</w:t>
      </w:r>
      <w:r w:rsidRPr="6982AF57">
        <w:rPr>
          <w:rFonts w:eastAsiaTheme="minorEastAsia"/>
        </w:rPr>
        <w:t>, t</w:t>
      </w:r>
      <w:r w:rsidR="00885100" w:rsidRPr="6982AF57">
        <w:rPr>
          <w:rFonts w:eastAsiaTheme="minorEastAsia"/>
        </w:rPr>
        <w:t xml:space="preserve">he </w:t>
      </w:r>
      <w:r w:rsidR="00671C61" w:rsidRPr="6982AF57">
        <w:rPr>
          <w:rFonts w:eastAsiaTheme="minorEastAsia"/>
        </w:rPr>
        <w:t>Independent Evaluator</w:t>
      </w:r>
      <w:r w:rsidR="00075F33" w:rsidRPr="6982AF57">
        <w:rPr>
          <w:rFonts w:eastAsiaTheme="minorEastAsia"/>
        </w:rPr>
        <w:t xml:space="preserve">, </w:t>
      </w:r>
      <w:r w:rsidR="00075F33">
        <w:rPr>
          <w:rFonts w:eastAsiaTheme="minorEastAsia"/>
        </w:rPr>
        <w:t>I</w:t>
      </w:r>
      <w:r w:rsidR="00075F33" w:rsidRPr="6982AF57">
        <w:rPr>
          <w:rFonts w:eastAsiaTheme="minorEastAsia"/>
        </w:rPr>
        <w:t>tad,</w:t>
      </w:r>
      <w:r w:rsidR="0057035F" w:rsidRPr="6982AF57">
        <w:rPr>
          <w:rFonts w:eastAsiaTheme="minorEastAsia"/>
        </w:rPr>
        <w:t xml:space="preserve"> </w:t>
      </w:r>
      <w:r w:rsidR="00F94F1B" w:rsidRPr="6982AF57">
        <w:rPr>
          <w:rFonts w:eastAsiaTheme="minorEastAsia"/>
        </w:rPr>
        <w:t>submitted</w:t>
      </w:r>
      <w:r w:rsidR="00067140" w:rsidRPr="6982AF57">
        <w:rPr>
          <w:rFonts w:eastAsiaTheme="minorEastAsia"/>
        </w:rPr>
        <w:t xml:space="preserve"> </w:t>
      </w:r>
      <w:r w:rsidR="00885100" w:rsidRPr="6982AF57">
        <w:rPr>
          <w:rFonts w:eastAsiaTheme="minorEastAsia"/>
        </w:rPr>
        <w:t>the third formative deliverable</w:t>
      </w:r>
      <w:r w:rsidR="00550021" w:rsidRPr="6982AF57">
        <w:rPr>
          <w:rFonts w:eastAsiaTheme="minorEastAsia"/>
        </w:rPr>
        <w:t xml:space="preserve"> </w:t>
      </w:r>
      <w:r w:rsidR="007034D3" w:rsidRPr="6982AF57">
        <w:rPr>
          <w:rFonts w:eastAsiaTheme="minorEastAsia"/>
        </w:rPr>
        <w:t>which focused on</w:t>
      </w:r>
      <w:r w:rsidR="001F5091" w:rsidRPr="6982AF57">
        <w:rPr>
          <w:rFonts w:eastAsiaTheme="minorEastAsia"/>
        </w:rPr>
        <w:t xml:space="preserve"> the</w:t>
      </w:r>
      <w:r w:rsidR="007034D3" w:rsidRPr="6982AF57">
        <w:rPr>
          <w:rFonts w:eastAsiaTheme="minorEastAsia"/>
        </w:rPr>
        <w:t xml:space="preserve"> </w:t>
      </w:r>
      <w:r w:rsidR="00276E41" w:rsidRPr="6982AF57">
        <w:rPr>
          <w:rFonts w:eastAsiaTheme="minorEastAsia"/>
        </w:rPr>
        <w:t>f</w:t>
      </w:r>
      <w:r w:rsidR="007034D3" w:rsidRPr="6982AF57">
        <w:rPr>
          <w:rFonts w:eastAsiaTheme="minorEastAsia"/>
        </w:rPr>
        <w:t>ellowships scheme</w:t>
      </w:r>
      <w:r w:rsidR="004715C9" w:rsidRPr="6982AF57">
        <w:rPr>
          <w:rFonts w:eastAsiaTheme="minorEastAsia"/>
        </w:rPr>
        <w:t>, regional grants and use of data</w:t>
      </w:r>
      <w:r w:rsidR="001F5091" w:rsidRPr="6982AF57">
        <w:rPr>
          <w:rFonts w:eastAsiaTheme="minorEastAsia"/>
        </w:rPr>
        <w:t xml:space="preserve"> during 2020</w:t>
      </w:r>
      <w:r w:rsidR="004715C9" w:rsidRPr="6982AF57">
        <w:rPr>
          <w:rFonts w:eastAsiaTheme="minorEastAsia"/>
        </w:rPr>
        <w:t xml:space="preserve">. </w:t>
      </w:r>
      <w:r w:rsidR="003F09CE" w:rsidRPr="6982AF57">
        <w:rPr>
          <w:rFonts w:eastAsiaTheme="minorEastAsia"/>
        </w:rPr>
        <w:t>It found that</w:t>
      </w:r>
      <w:r w:rsidR="00652B50" w:rsidRPr="6982AF57">
        <w:rPr>
          <w:rFonts w:eastAsiaTheme="minorEastAsia"/>
        </w:rPr>
        <w:t>:</w:t>
      </w:r>
    </w:p>
    <w:p w14:paraId="0FF63956" w14:textId="0AF0FFF4" w:rsidR="00652B50" w:rsidRDefault="003F09CE" w:rsidP="00652B50">
      <w:pPr>
        <w:pStyle w:val="Bullet-numberedlist"/>
        <w:numPr>
          <w:ilvl w:val="0"/>
          <w:numId w:val="36"/>
        </w:numPr>
        <w:rPr>
          <w:rFonts w:eastAsiaTheme="minorHAnsi"/>
        </w:rPr>
      </w:pPr>
      <w:r w:rsidRPr="00652B50">
        <w:rPr>
          <w:rFonts w:eastAsiaTheme="minorHAnsi"/>
        </w:rPr>
        <w:t>the fellowships and regional grants are well conceived and expected to make important contributions to the Fund’s overarching goals</w:t>
      </w:r>
      <w:r w:rsidR="00C442DE">
        <w:rPr>
          <w:rFonts w:eastAsiaTheme="minorHAnsi"/>
        </w:rPr>
        <w:t>;</w:t>
      </w:r>
    </w:p>
    <w:p w14:paraId="675CC17B" w14:textId="64E37BF4" w:rsidR="00652B50" w:rsidRDefault="001F5091" w:rsidP="00652B50">
      <w:pPr>
        <w:pStyle w:val="Bullet-numberedlist"/>
        <w:numPr>
          <w:ilvl w:val="0"/>
          <w:numId w:val="36"/>
        </w:numPr>
        <w:rPr>
          <w:rFonts w:eastAsiaTheme="minorEastAsia"/>
        </w:rPr>
      </w:pPr>
      <w:r w:rsidRPr="6982AF57">
        <w:rPr>
          <w:rFonts w:eastAsiaTheme="minorEastAsia"/>
        </w:rPr>
        <w:t>t</w:t>
      </w:r>
      <w:r w:rsidR="00514C8F" w:rsidRPr="6982AF57">
        <w:rPr>
          <w:rFonts w:eastAsiaTheme="minorEastAsia"/>
        </w:rPr>
        <w:t xml:space="preserve">here is scope to strengthen best practice, coordination and </w:t>
      </w:r>
      <w:r w:rsidRPr="6982AF57">
        <w:rPr>
          <w:rFonts w:eastAsiaTheme="minorEastAsia"/>
        </w:rPr>
        <w:t xml:space="preserve">improve </w:t>
      </w:r>
      <w:r w:rsidR="009B67D1" w:rsidRPr="6982AF57">
        <w:rPr>
          <w:rFonts w:eastAsiaTheme="minorEastAsia"/>
        </w:rPr>
        <w:t>M&amp;E</w:t>
      </w:r>
      <w:r w:rsidR="00C442DE">
        <w:rPr>
          <w:rFonts w:eastAsiaTheme="minorEastAsia"/>
        </w:rPr>
        <w:t>;</w:t>
      </w:r>
    </w:p>
    <w:p w14:paraId="7D8FE3E7" w14:textId="64358DEC" w:rsidR="00652B50" w:rsidRDefault="00CE7041" w:rsidP="00652B50">
      <w:pPr>
        <w:pStyle w:val="Bullet-numberedlist"/>
        <w:numPr>
          <w:ilvl w:val="0"/>
          <w:numId w:val="36"/>
        </w:numPr>
        <w:rPr>
          <w:rFonts w:eastAsiaTheme="minorEastAsia"/>
        </w:rPr>
      </w:pPr>
      <w:r w:rsidRPr="6982AF57">
        <w:rPr>
          <w:rFonts w:eastAsiaTheme="minorEastAsia"/>
        </w:rPr>
        <w:t>an</w:t>
      </w:r>
      <w:r w:rsidR="001402FF" w:rsidRPr="6982AF57">
        <w:rPr>
          <w:rFonts w:eastAsiaTheme="minorEastAsia"/>
        </w:rPr>
        <w:t xml:space="preserve"> approach to</w:t>
      </w:r>
      <w:r w:rsidR="006330B2" w:rsidRPr="6982AF57">
        <w:rPr>
          <w:rFonts w:eastAsiaTheme="minorEastAsia"/>
        </w:rPr>
        <w:t xml:space="preserve"> </w:t>
      </w:r>
      <w:r w:rsidR="001402FF" w:rsidRPr="6982AF57">
        <w:rPr>
          <w:rFonts w:eastAsiaTheme="minorEastAsia"/>
        </w:rPr>
        <w:t>identifying opportunities to ensure that</w:t>
      </w:r>
      <w:r w:rsidR="006330B2" w:rsidRPr="6982AF57">
        <w:rPr>
          <w:rFonts w:eastAsiaTheme="minorEastAsia"/>
        </w:rPr>
        <w:t xml:space="preserve"> </w:t>
      </w:r>
      <w:r w:rsidR="001402FF" w:rsidRPr="6982AF57">
        <w:rPr>
          <w:rFonts w:eastAsiaTheme="minorEastAsia"/>
        </w:rPr>
        <w:t>data is used at country level</w:t>
      </w:r>
      <w:r w:rsidRPr="6982AF57">
        <w:rPr>
          <w:rFonts w:eastAsiaTheme="minorEastAsia"/>
        </w:rPr>
        <w:t xml:space="preserve"> is lacking</w:t>
      </w:r>
      <w:r w:rsidR="404E5650" w:rsidRPr="6982AF57">
        <w:rPr>
          <w:rFonts w:eastAsiaTheme="minorEastAsia"/>
        </w:rPr>
        <w:t>.</w:t>
      </w:r>
    </w:p>
    <w:p w14:paraId="66051B86" w14:textId="34B8B22E" w:rsidR="00276E41" w:rsidRPr="00652B50" w:rsidRDefault="00276E41" w:rsidP="009B141F">
      <w:pPr>
        <w:pStyle w:val="Bullet-numberedlist"/>
        <w:numPr>
          <w:ilvl w:val="0"/>
          <w:numId w:val="0"/>
        </w:numPr>
        <w:rPr>
          <w:rFonts w:eastAsiaTheme="minorHAnsi"/>
        </w:rPr>
      </w:pPr>
      <w:r w:rsidRPr="00652B50">
        <w:rPr>
          <w:rFonts w:eastAsiaTheme="minorHAnsi"/>
        </w:rPr>
        <w:t>A</w:t>
      </w:r>
      <w:r w:rsidR="00721542" w:rsidRPr="00652B50">
        <w:rPr>
          <w:rFonts w:eastAsiaTheme="minorHAnsi"/>
        </w:rPr>
        <w:t>n internal</w:t>
      </w:r>
      <w:r w:rsidRPr="00652B50">
        <w:rPr>
          <w:rFonts w:eastAsiaTheme="minorHAnsi"/>
        </w:rPr>
        <w:t xml:space="preserve"> review of the fellowships scheme and second</w:t>
      </w:r>
      <w:r w:rsidR="00D2654D" w:rsidRPr="00652B50">
        <w:rPr>
          <w:rFonts w:eastAsiaTheme="minorHAnsi"/>
        </w:rPr>
        <w:t>ments</w:t>
      </w:r>
      <w:r w:rsidRPr="00652B50">
        <w:rPr>
          <w:rFonts w:eastAsiaTheme="minorHAnsi"/>
        </w:rPr>
        <w:t xml:space="preserve"> </w:t>
      </w:r>
      <w:r w:rsidR="00D2654D" w:rsidRPr="00652B50">
        <w:rPr>
          <w:rFonts w:eastAsiaTheme="minorHAnsi"/>
        </w:rPr>
        <w:t>were also</w:t>
      </w:r>
      <w:r w:rsidRPr="00652B50">
        <w:rPr>
          <w:rFonts w:eastAsiaTheme="minorHAnsi"/>
        </w:rPr>
        <w:t xml:space="preserve"> conducted</w:t>
      </w:r>
      <w:r w:rsidR="00930AC6" w:rsidRPr="00652B50">
        <w:rPr>
          <w:rFonts w:eastAsiaTheme="minorHAnsi"/>
        </w:rPr>
        <w:t xml:space="preserve"> to </w:t>
      </w:r>
      <w:r w:rsidR="002B0BCA" w:rsidRPr="00652B50">
        <w:rPr>
          <w:rFonts w:eastAsiaTheme="minorHAnsi"/>
        </w:rPr>
        <w:t>assess performance and identify lessons learnt</w:t>
      </w:r>
      <w:r w:rsidR="007D0518" w:rsidRPr="00652B50">
        <w:rPr>
          <w:rFonts w:eastAsiaTheme="minorHAnsi"/>
        </w:rPr>
        <w:t xml:space="preserve">. </w:t>
      </w:r>
      <w:r w:rsidRPr="00652B50">
        <w:rPr>
          <w:rFonts w:eastAsiaTheme="minorHAnsi"/>
        </w:rPr>
        <w:t>R</w:t>
      </w:r>
      <w:r w:rsidR="00F216BD" w:rsidRPr="00652B50">
        <w:rPr>
          <w:rFonts w:eastAsiaTheme="minorHAnsi"/>
        </w:rPr>
        <w:t xml:space="preserve">ecommendations from </w:t>
      </w:r>
      <w:r w:rsidRPr="00652B50">
        <w:rPr>
          <w:rFonts w:eastAsiaTheme="minorHAnsi"/>
        </w:rPr>
        <w:t>the formative deliverable</w:t>
      </w:r>
      <w:r w:rsidR="007D0518" w:rsidRPr="00652B50">
        <w:rPr>
          <w:rFonts w:eastAsiaTheme="minorHAnsi"/>
        </w:rPr>
        <w:t xml:space="preserve"> and </w:t>
      </w:r>
      <w:r w:rsidR="008B2952">
        <w:rPr>
          <w:rFonts w:eastAsiaTheme="minorHAnsi"/>
        </w:rPr>
        <w:t>the</w:t>
      </w:r>
      <w:r w:rsidR="00D80764">
        <w:rPr>
          <w:rFonts w:eastAsiaTheme="minorHAnsi"/>
        </w:rPr>
        <w:t xml:space="preserve"> </w:t>
      </w:r>
      <w:r w:rsidR="007D0518" w:rsidRPr="00652B50">
        <w:rPr>
          <w:rFonts w:eastAsiaTheme="minorHAnsi"/>
        </w:rPr>
        <w:t>reviews</w:t>
      </w:r>
      <w:r w:rsidR="00AD1156" w:rsidRPr="00652B50">
        <w:rPr>
          <w:rFonts w:eastAsiaTheme="minorHAnsi"/>
        </w:rPr>
        <w:t xml:space="preserve"> </w:t>
      </w:r>
      <w:r w:rsidR="00E378C0" w:rsidRPr="00652B50">
        <w:rPr>
          <w:rFonts w:eastAsiaTheme="minorHAnsi"/>
        </w:rPr>
        <w:t>were incorporated into</w:t>
      </w:r>
      <w:r w:rsidR="007D0518" w:rsidRPr="00652B50">
        <w:rPr>
          <w:rFonts w:eastAsiaTheme="minorHAnsi"/>
        </w:rPr>
        <w:t xml:space="preserve"> the</w:t>
      </w:r>
      <w:r w:rsidR="00424E4B" w:rsidRPr="00652B50">
        <w:rPr>
          <w:rFonts w:eastAsiaTheme="minorHAnsi"/>
        </w:rPr>
        <w:t xml:space="preserve"> </w:t>
      </w:r>
      <w:r w:rsidR="00AC6BA2" w:rsidRPr="00652B50">
        <w:rPr>
          <w:rFonts w:eastAsiaTheme="minorHAnsi"/>
        </w:rPr>
        <w:t>phase 2</w:t>
      </w:r>
      <w:r w:rsidR="00E378C0" w:rsidRPr="00652B50">
        <w:rPr>
          <w:rFonts w:eastAsiaTheme="minorHAnsi"/>
        </w:rPr>
        <w:t xml:space="preserve"> </w:t>
      </w:r>
      <w:r w:rsidR="00D81ACF" w:rsidRPr="00652B50">
        <w:rPr>
          <w:rFonts w:eastAsiaTheme="minorHAnsi"/>
        </w:rPr>
        <w:t>B</w:t>
      </w:r>
      <w:r w:rsidR="00E378C0" w:rsidRPr="00652B50">
        <w:rPr>
          <w:rFonts w:eastAsiaTheme="minorHAnsi"/>
        </w:rPr>
        <w:t xml:space="preserve">usiness </w:t>
      </w:r>
      <w:r w:rsidR="00D81ACF" w:rsidRPr="00652B50">
        <w:rPr>
          <w:rFonts w:eastAsiaTheme="minorHAnsi"/>
        </w:rPr>
        <w:t>C</w:t>
      </w:r>
      <w:r w:rsidR="00E378C0" w:rsidRPr="00652B50">
        <w:rPr>
          <w:rFonts w:eastAsiaTheme="minorHAnsi"/>
        </w:rPr>
        <w:t>ase.</w:t>
      </w:r>
    </w:p>
    <w:p w14:paraId="4FB61D3C" w14:textId="666D4263" w:rsidR="009D3FDF" w:rsidRDefault="00CD7775" w:rsidP="00535B3F">
      <w:pPr>
        <w:pStyle w:val="ParagraphText-unnumbered"/>
        <w:rPr>
          <w:rFonts w:eastAsiaTheme="minorEastAsia"/>
        </w:rPr>
      </w:pPr>
      <w:r w:rsidRPr="59765CFE">
        <w:rPr>
          <w:rFonts w:eastAsiaTheme="minorEastAsia"/>
        </w:rPr>
        <w:t>In June</w:t>
      </w:r>
      <w:r w:rsidR="00D81ACF" w:rsidRPr="59765CFE">
        <w:rPr>
          <w:rFonts w:eastAsiaTheme="minorEastAsia"/>
        </w:rPr>
        <w:t xml:space="preserve"> t</w:t>
      </w:r>
      <w:r w:rsidR="00A01F9C" w:rsidRPr="59765CFE">
        <w:rPr>
          <w:rFonts w:eastAsiaTheme="minorEastAsia"/>
        </w:rPr>
        <w:t xml:space="preserve">he evaluation process </w:t>
      </w:r>
      <w:r w:rsidRPr="59765CFE">
        <w:rPr>
          <w:rFonts w:eastAsiaTheme="minorEastAsia"/>
        </w:rPr>
        <w:t xml:space="preserve">shifted from </w:t>
      </w:r>
      <w:r w:rsidR="00A01F9C" w:rsidRPr="59765CFE">
        <w:rPr>
          <w:rFonts w:eastAsiaTheme="minorEastAsia"/>
        </w:rPr>
        <w:t>generating learning to enhance the quality of implementation</w:t>
      </w:r>
      <w:r w:rsidR="002432BF" w:rsidRPr="59765CFE">
        <w:rPr>
          <w:rFonts w:eastAsiaTheme="minorEastAsia"/>
        </w:rPr>
        <w:t>,</w:t>
      </w:r>
      <w:r w:rsidR="00A01F9C" w:rsidRPr="59765CFE">
        <w:rPr>
          <w:rFonts w:eastAsiaTheme="minorEastAsia"/>
        </w:rPr>
        <w:t xml:space="preserve"> towards a summative judgement based on evaluation questions in line with the Theory of Change.</w:t>
      </w:r>
      <w:r w:rsidR="009F6A42" w:rsidRPr="59765CFE">
        <w:rPr>
          <w:rFonts w:eastAsiaTheme="minorEastAsia"/>
        </w:rPr>
        <w:t xml:space="preserve"> </w:t>
      </w:r>
      <w:r w:rsidR="00D82BC7" w:rsidRPr="59765CFE">
        <w:rPr>
          <w:rFonts w:eastAsiaTheme="minorEastAsia"/>
        </w:rPr>
        <w:t xml:space="preserve">Itad </w:t>
      </w:r>
      <w:r w:rsidR="009D76E7" w:rsidRPr="59765CFE">
        <w:rPr>
          <w:rFonts w:eastAsiaTheme="minorEastAsia"/>
        </w:rPr>
        <w:t xml:space="preserve">started </w:t>
      </w:r>
      <w:r w:rsidR="00B67B46" w:rsidRPr="59765CFE">
        <w:rPr>
          <w:rFonts w:eastAsiaTheme="minorEastAsia"/>
        </w:rPr>
        <w:t>data collection</w:t>
      </w:r>
      <w:r w:rsidR="009D76E7" w:rsidRPr="59765CFE">
        <w:rPr>
          <w:rFonts w:eastAsiaTheme="minorEastAsia"/>
        </w:rPr>
        <w:t xml:space="preserve"> for the summative evaluation report</w:t>
      </w:r>
      <w:r w:rsidRPr="59765CFE">
        <w:rPr>
          <w:rFonts w:eastAsiaTheme="minorEastAsia"/>
        </w:rPr>
        <w:t xml:space="preserve">. </w:t>
      </w:r>
      <w:r w:rsidR="009D76E7" w:rsidRPr="59765CFE">
        <w:rPr>
          <w:rFonts w:eastAsiaTheme="minorEastAsia"/>
        </w:rPr>
        <w:t>Due to COVID-19</w:t>
      </w:r>
      <w:r w:rsidR="007E3A70" w:rsidRPr="59765CFE">
        <w:rPr>
          <w:rFonts w:eastAsiaTheme="minorEastAsia"/>
        </w:rPr>
        <w:t>,</w:t>
      </w:r>
      <w:r w:rsidR="009D76E7" w:rsidRPr="59765CFE">
        <w:rPr>
          <w:rFonts w:eastAsiaTheme="minorEastAsia"/>
        </w:rPr>
        <w:t xml:space="preserve"> </w:t>
      </w:r>
      <w:r w:rsidR="00075F33" w:rsidRPr="59765CFE">
        <w:rPr>
          <w:rFonts w:eastAsiaTheme="minorEastAsia"/>
        </w:rPr>
        <w:t>Itad</w:t>
      </w:r>
      <w:r w:rsidR="00D85156" w:rsidRPr="59765CFE">
        <w:rPr>
          <w:rFonts w:eastAsiaTheme="minorEastAsia"/>
        </w:rPr>
        <w:t xml:space="preserve"> </w:t>
      </w:r>
      <w:r w:rsidR="00123EF5" w:rsidRPr="59765CFE">
        <w:rPr>
          <w:rFonts w:eastAsiaTheme="minorEastAsia"/>
        </w:rPr>
        <w:t>adopted</w:t>
      </w:r>
      <w:r w:rsidR="00455659" w:rsidRPr="59765CFE">
        <w:rPr>
          <w:rFonts w:eastAsiaTheme="minorEastAsia"/>
        </w:rPr>
        <w:t xml:space="preserve"> </w:t>
      </w:r>
      <w:r w:rsidR="00D85156" w:rsidRPr="59765CFE">
        <w:rPr>
          <w:rFonts w:eastAsiaTheme="minorEastAsia"/>
        </w:rPr>
        <w:t xml:space="preserve">a hybrid approach to </w:t>
      </w:r>
      <w:r w:rsidR="00075F33" w:rsidRPr="59765CFE">
        <w:rPr>
          <w:rFonts w:eastAsiaTheme="minorEastAsia"/>
        </w:rPr>
        <w:t xml:space="preserve">country visits </w:t>
      </w:r>
      <w:r w:rsidR="007952DD" w:rsidRPr="59765CFE">
        <w:rPr>
          <w:rFonts w:eastAsiaTheme="minorEastAsia"/>
        </w:rPr>
        <w:t>using national in-country consultants</w:t>
      </w:r>
      <w:r w:rsidR="00455659" w:rsidRPr="59765CFE">
        <w:rPr>
          <w:rFonts w:eastAsiaTheme="minorEastAsia"/>
        </w:rPr>
        <w:t xml:space="preserve"> and remote supervision where travel was restricted</w:t>
      </w:r>
      <w:r w:rsidR="009E1AB0" w:rsidRPr="59765CFE">
        <w:rPr>
          <w:rFonts w:eastAsiaTheme="minorEastAsia"/>
        </w:rPr>
        <w:t xml:space="preserve">. </w:t>
      </w:r>
      <w:r w:rsidR="00BB4DF4" w:rsidRPr="59765CFE">
        <w:rPr>
          <w:rFonts w:eastAsiaTheme="minorEastAsia"/>
        </w:rPr>
        <w:t>This</w:t>
      </w:r>
      <w:r w:rsidR="009E1AB0" w:rsidRPr="59765CFE">
        <w:rPr>
          <w:rFonts w:eastAsiaTheme="minorEastAsia"/>
        </w:rPr>
        <w:t xml:space="preserve"> will be rolled out for </w:t>
      </w:r>
      <w:r w:rsidR="00BB4DF4" w:rsidRPr="59765CFE">
        <w:rPr>
          <w:rFonts w:eastAsiaTheme="minorEastAsia"/>
        </w:rPr>
        <w:t>remaining country visits</w:t>
      </w:r>
      <w:r w:rsidR="00D82BC7" w:rsidRPr="59765CFE">
        <w:rPr>
          <w:rFonts w:eastAsiaTheme="minorEastAsia"/>
        </w:rPr>
        <w:t xml:space="preserve"> where appropriate</w:t>
      </w:r>
      <w:r w:rsidR="007B25BD" w:rsidRPr="59765CFE">
        <w:rPr>
          <w:rFonts w:eastAsiaTheme="minorEastAsia"/>
        </w:rPr>
        <w:t xml:space="preserve">. </w:t>
      </w:r>
      <w:r w:rsidR="007E3A70" w:rsidRPr="59765CFE">
        <w:rPr>
          <w:rFonts w:eastAsiaTheme="minorEastAsia"/>
        </w:rPr>
        <w:t xml:space="preserve">The summative report is due to be submitted </w:t>
      </w:r>
      <w:r w:rsidR="00302807" w:rsidRPr="59765CFE">
        <w:rPr>
          <w:rFonts w:eastAsiaTheme="minorEastAsia"/>
        </w:rPr>
        <w:t xml:space="preserve">in </w:t>
      </w:r>
      <w:r w:rsidR="001F5091" w:rsidRPr="59765CFE">
        <w:rPr>
          <w:rFonts w:eastAsiaTheme="minorEastAsia"/>
        </w:rPr>
        <w:t xml:space="preserve">December 2022. </w:t>
      </w:r>
    </w:p>
    <w:p w14:paraId="072A15BB" w14:textId="70A7362A" w:rsidR="00C42F2F" w:rsidRPr="00845B20" w:rsidRDefault="00A80E70" w:rsidP="00C42F2F">
      <w:pPr>
        <w:pStyle w:val="Heading3"/>
      </w:pPr>
      <w:r>
        <w:t xml:space="preserve">8.2 </w:t>
      </w:r>
      <w:r w:rsidR="00C42F2F">
        <w:t>Monitoring</w:t>
      </w:r>
    </w:p>
    <w:p w14:paraId="35940FFF" w14:textId="2080278C" w:rsidR="009E78E9" w:rsidRPr="00C7198E" w:rsidRDefault="00B006BE" w:rsidP="00C7198E">
      <w:pPr>
        <w:pStyle w:val="ParagraphText-unnumbered"/>
        <w:rPr>
          <w:rFonts w:eastAsiaTheme="minorEastAsia"/>
        </w:rPr>
      </w:pPr>
      <w:r>
        <w:t>T</w:t>
      </w:r>
      <w:r w:rsidR="00E66DCC">
        <w:t xml:space="preserve">he Fleming Fund has made use of a monitoring matrix since its inception, </w:t>
      </w:r>
      <w:r w:rsidR="00874755">
        <w:t xml:space="preserve">as </w:t>
      </w:r>
      <w:r w:rsidR="00E66DCC">
        <w:t>a</w:t>
      </w:r>
      <w:r w:rsidR="005362F0">
        <w:t xml:space="preserve"> </w:t>
      </w:r>
      <w:r w:rsidR="00D55420">
        <w:t>portfolio</w:t>
      </w:r>
      <w:r w:rsidR="006B7C7B">
        <w:t>-</w:t>
      </w:r>
      <w:r w:rsidR="00D55420">
        <w:t>wide</w:t>
      </w:r>
      <w:r w:rsidR="005362F0">
        <w:t xml:space="preserve"> </w:t>
      </w:r>
      <w:r w:rsidR="003B16A6">
        <w:t>R</w:t>
      </w:r>
      <w:r w:rsidR="005362F0">
        <w:t xml:space="preserve">esults </w:t>
      </w:r>
      <w:r w:rsidR="003B16A6">
        <w:t>F</w:t>
      </w:r>
      <w:r w:rsidR="005362F0">
        <w:t xml:space="preserve">ramework was not in place during the </w:t>
      </w:r>
      <w:r w:rsidR="00F343A9">
        <w:t>phase 1</w:t>
      </w:r>
      <w:r w:rsidR="005362F0">
        <w:t xml:space="preserve"> design and implementation</w:t>
      </w:r>
      <w:r w:rsidR="006B7C7B">
        <w:t>;</w:t>
      </w:r>
      <w:r w:rsidR="005362F0">
        <w:t xml:space="preserve"> </w:t>
      </w:r>
      <w:r w:rsidR="00185741">
        <w:t>t</w:t>
      </w:r>
      <w:r w:rsidR="00D55420">
        <w:t>herefore</w:t>
      </w:r>
      <w:r w:rsidR="006B7C7B">
        <w:t>,</w:t>
      </w:r>
      <w:r w:rsidR="00185741">
        <w:t xml:space="preserve"> </w:t>
      </w:r>
      <w:r w:rsidR="005362F0">
        <w:t>each Fleming Fund grant had different monitoring metrics which meant that programme-level targets were not set and results at the programme-level could not easily be determined. Moreover, the programme did not have a systematic way to track progress towards outcomes and impact</w:t>
      </w:r>
      <w:r w:rsidR="003B16A6">
        <w:t>-</w:t>
      </w:r>
      <w:r w:rsidR="005362F0">
        <w:t xml:space="preserve">level changes. A </w:t>
      </w:r>
      <w:r w:rsidR="003B16A6">
        <w:t>R</w:t>
      </w:r>
      <w:r w:rsidR="005362F0">
        <w:t xml:space="preserve">esults </w:t>
      </w:r>
      <w:r w:rsidR="003B16A6">
        <w:t>F</w:t>
      </w:r>
      <w:r w:rsidR="005362F0">
        <w:t xml:space="preserve">ramework </w:t>
      </w:r>
      <w:r w:rsidR="000A4E55">
        <w:t xml:space="preserve">is </w:t>
      </w:r>
      <w:r w:rsidR="00690F86">
        <w:t xml:space="preserve">currently </w:t>
      </w:r>
      <w:r w:rsidR="00265B6A">
        <w:t>being developed</w:t>
      </w:r>
      <w:r w:rsidR="00206C31">
        <w:t xml:space="preserve"> </w:t>
      </w:r>
      <w:r w:rsidR="005362F0">
        <w:t xml:space="preserve">in consultation with the Independent Evaluator and </w:t>
      </w:r>
      <w:r w:rsidR="00265B6A">
        <w:t xml:space="preserve">learning partner </w:t>
      </w:r>
      <w:r w:rsidR="00C7198E">
        <w:t>Itad</w:t>
      </w:r>
      <w:r w:rsidR="005362F0">
        <w:t xml:space="preserve"> and</w:t>
      </w:r>
      <w:r w:rsidR="00265B6A">
        <w:t xml:space="preserve"> our</w:t>
      </w:r>
      <w:r w:rsidR="005362F0">
        <w:t xml:space="preserve"> delivery partners, to monitor progress against</w:t>
      </w:r>
      <w:r w:rsidR="007E0FD4">
        <w:t xml:space="preserve"> t</w:t>
      </w:r>
      <w:r w:rsidR="00571DCB">
        <w:t xml:space="preserve">he expected outputs, </w:t>
      </w:r>
      <w:r w:rsidR="005569F2">
        <w:t>outcomes,</w:t>
      </w:r>
      <w:r w:rsidR="00571DCB">
        <w:t xml:space="preserve"> and </w:t>
      </w:r>
      <w:r w:rsidR="006B4155">
        <w:t xml:space="preserve">impact level changes in the </w:t>
      </w:r>
      <w:r w:rsidR="007E0FD4">
        <w:t xml:space="preserve">ToC. </w:t>
      </w:r>
      <w:r w:rsidR="005046EB">
        <w:t xml:space="preserve">This has been developed in alignment with best practice from DFID’s (now FCDO) 2020 </w:t>
      </w:r>
      <w:r w:rsidR="00D80089">
        <w:t>SMART</w:t>
      </w:r>
      <w:r w:rsidR="005046EB">
        <w:t xml:space="preserve"> rules</w:t>
      </w:r>
      <w:r w:rsidR="00E76981">
        <w:t xml:space="preserve"> and is due to be reported against from 2023</w:t>
      </w:r>
      <w:r w:rsidR="005046EB">
        <w:t>.</w:t>
      </w:r>
      <w:r w:rsidR="006B4155" w:rsidRPr="4E97A769">
        <w:rPr>
          <w:rFonts w:eastAsiaTheme="minorEastAsia"/>
        </w:rPr>
        <w:t xml:space="preserve"> </w:t>
      </w:r>
      <w:r w:rsidR="00025750" w:rsidRPr="4E97A769">
        <w:rPr>
          <w:rFonts w:eastAsiaTheme="minorEastAsia"/>
        </w:rPr>
        <w:lastRenderedPageBreak/>
        <w:t xml:space="preserve">In addition to a </w:t>
      </w:r>
      <w:r w:rsidR="009B141F" w:rsidRPr="4E97A769">
        <w:rPr>
          <w:rFonts w:eastAsiaTheme="minorEastAsia"/>
        </w:rPr>
        <w:t>portfolio</w:t>
      </w:r>
      <w:r w:rsidR="00F459DD" w:rsidRPr="4E97A769">
        <w:rPr>
          <w:rFonts w:eastAsiaTheme="minorEastAsia"/>
        </w:rPr>
        <w:t>-</w:t>
      </w:r>
      <w:r w:rsidR="00025750" w:rsidRPr="4E97A769">
        <w:rPr>
          <w:rFonts w:eastAsiaTheme="minorEastAsia"/>
        </w:rPr>
        <w:t>wide results framework</w:t>
      </w:r>
      <w:r w:rsidR="00BD5030" w:rsidRPr="4E97A769">
        <w:rPr>
          <w:rFonts w:eastAsiaTheme="minorEastAsia"/>
        </w:rPr>
        <w:t xml:space="preserve">, DHSC Fleming Fund team </w:t>
      </w:r>
      <w:r w:rsidR="007F3556" w:rsidRPr="4E97A769">
        <w:rPr>
          <w:rFonts w:eastAsiaTheme="minorEastAsia"/>
        </w:rPr>
        <w:t xml:space="preserve">will be </w:t>
      </w:r>
      <w:r w:rsidR="00BD5030" w:rsidRPr="4E97A769">
        <w:rPr>
          <w:rFonts w:eastAsiaTheme="minorEastAsia"/>
        </w:rPr>
        <w:t>conduct</w:t>
      </w:r>
      <w:r w:rsidR="007F3556" w:rsidRPr="4E97A769">
        <w:rPr>
          <w:rFonts w:eastAsiaTheme="minorEastAsia"/>
        </w:rPr>
        <w:t>ing</w:t>
      </w:r>
      <w:r w:rsidR="00BD5030" w:rsidRPr="4E97A769">
        <w:rPr>
          <w:rFonts w:eastAsiaTheme="minorEastAsia"/>
        </w:rPr>
        <w:t xml:space="preserve"> country vi</w:t>
      </w:r>
      <w:r w:rsidR="00D55420" w:rsidRPr="4E97A769">
        <w:rPr>
          <w:rFonts w:eastAsiaTheme="minorEastAsia"/>
        </w:rPr>
        <w:t xml:space="preserve">sits to monitor progress </w:t>
      </w:r>
      <w:r w:rsidR="005569F2" w:rsidRPr="4E97A769">
        <w:rPr>
          <w:rFonts w:eastAsiaTheme="minorEastAsia"/>
        </w:rPr>
        <w:t>first-hand</w:t>
      </w:r>
      <w:r w:rsidR="00E67160" w:rsidRPr="4E97A769">
        <w:rPr>
          <w:rFonts w:eastAsiaTheme="minorEastAsia"/>
        </w:rPr>
        <w:t xml:space="preserve"> where travel restrictions allow</w:t>
      </w:r>
      <w:r w:rsidR="00D55420" w:rsidRPr="4E97A769">
        <w:rPr>
          <w:rFonts w:eastAsiaTheme="minorEastAsia"/>
        </w:rPr>
        <w:t>.</w:t>
      </w:r>
    </w:p>
    <w:p w14:paraId="1816F8B4" w14:textId="6027D1E3" w:rsidR="00C42F2F" w:rsidRDefault="009E78E9" w:rsidP="006E5DC7">
      <w:pPr>
        <w:pStyle w:val="Boxedtext-greenborder"/>
        <w:rPr>
          <w:rFonts w:eastAsiaTheme="minorHAnsi"/>
        </w:rPr>
      </w:pPr>
      <w:r w:rsidRPr="003C7E22">
        <w:rPr>
          <w:rStyle w:val="Bold"/>
          <w:rFonts w:eastAsiaTheme="minorHAnsi"/>
        </w:rPr>
        <w:t>Recommendation</w:t>
      </w:r>
      <w:r w:rsidR="00A1765F">
        <w:rPr>
          <w:rStyle w:val="Bold"/>
          <w:rFonts w:eastAsiaTheme="minorHAnsi"/>
        </w:rPr>
        <w:t xml:space="preserve"> </w:t>
      </w:r>
      <w:r w:rsidR="00282120">
        <w:rPr>
          <w:rStyle w:val="Bold"/>
          <w:rFonts w:eastAsiaTheme="minorHAnsi"/>
        </w:rPr>
        <w:t>8</w:t>
      </w:r>
      <w:r>
        <w:rPr>
          <w:rFonts w:eastAsiaTheme="minorHAnsi"/>
        </w:rPr>
        <w:t xml:space="preserve">: </w:t>
      </w:r>
      <w:r w:rsidR="00D072AA" w:rsidRPr="00D072AA">
        <w:rPr>
          <w:rFonts w:eastAsiaTheme="minorHAnsi"/>
        </w:rPr>
        <w:t xml:space="preserve">Conduct country visits to strengthen relationships, enhance oversight of implementation, </w:t>
      </w:r>
      <w:r w:rsidR="0091745D" w:rsidRPr="0091745D">
        <w:rPr>
          <w:rFonts w:eastAsiaTheme="minorHAnsi"/>
        </w:rPr>
        <w:t xml:space="preserve">deliver on assurance requirements </w:t>
      </w:r>
      <w:r w:rsidR="00D072AA" w:rsidRPr="00D072AA">
        <w:rPr>
          <w:rFonts w:eastAsiaTheme="minorHAnsi"/>
        </w:rPr>
        <w:t>and support results monitoring</w:t>
      </w:r>
      <w:r w:rsidR="00530F99">
        <w:rPr>
          <w:rFonts w:eastAsiaTheme="minorHAnsi"/>
        </w:rPr>
        <w:t>.</w:t>
      </w:r>
    </w:p>
    <w:p w14:paraId="4767DA78" w14:textId="651307EC" w:rsidR="00C42F2F" w:rsidRDefault="00A80E70" w:rsidP="00C42F2F">
      <w:pPr>
        <w:pStyle w:val="Heading3"/>
        <w:rPr>
          <w:rFonts w:eastAsiaTheme="minorHAnsi"/>
        </w:rPr>
      </w:pPr>
      <w:r>
        <w:rPr>
          <w:rFonts w:eastAsiaTheme="minorHAnsi"/>
        </w:rPr>
        <w:t xml:space="preserve">8.3 </w:t>
      </w:r>
      <w:r w:rsidR="00C42F2F">
        <w:rPr>
          <w:rFonts w:eastAsiaTheme="minorHAnsi"/>
        </w:rPr>
        <w:t>Learning</w:t>
      </w:r>
    </w:p>
    <w:p w14:paraId="0706D333" w14:textId="1B3C65B6" w:rsidR="0059162D" w:rsidRPr="0059162D" w:rsidRDefault="00CE6F78" w:rsidP="0059162D">
      <w:pPr>
        <w:pStyle w:val="ParagraphText-unnumbered"/>
      </w:pPr>
      <w:r w:rsidRPr="0060113A">
        <w:rPr>
          <w:rStyle w:val="Bold"/>
          <w:noProof/>
        </w:rPr>
        <mc:AlternateContent>
          <mc:Choice Requires="wps">
            <w:drawing>
              <wp:anchor distT="45720" distB="45720" distL="114300" distR="114300" simplePos="0" relativeHeight="251658244" behindDoc="0" locked="0" layoutInCell="1" allowOverlap="1" wp14:anchorId="241C0F24" wp14:editId="53F0A2AD">
                <wp:simplePos x="0" y="0"/>
                <wp:positionH relativeFrom="margin">
                  <wp:align>center</wp:align>
                </wp:positionH>
                <wp:positionV relativeFrom="paragraph">
                  <wp:posOffset>1525917</wp:posOffset>
                </wp:positionV>
                <wp:extent cx="5797550" cy="2698750"/>
                <wp:effectExtent l="0" t="0" r="12700" b="2540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698750"/>
                        </a:xfrm>
                        <a:prstGeom prst="rect">
                          <a:avLst/>
                        </a:prstGeom>
                        <a:solidFill>
                          <a:srgbClr val="616265">
                            <a:lumMod val="20000"/>
                            <a:lumOff val="80000"/>
                          </a:srgbClr>
                        </a:solidFill>
                        <a:ln w="9525">
                          <a:solidFill>
                            <a:srgbClr val="000000"/>
                          </a:solidFill>
                          <a:miter lim="800000"/>
                          <a:headEnd/>
                          <a:tailEnd/>
                        </a:ln>
                      </wps:spPr>
                      <wps:txbx>
                        <w:txbxContent>
                          <w:p w14:paraId="58D480F5" w14:textId="0B462A4D" w:rsidR="009E78E9" w:rsidRDefault="009E78E9" w:rsidP="009E78E9">
                            <w:pPr>
                              <w:pStyle w:val="Heading4"/>
                            </w:pPr>
                            <w:r>
                              <w:t xml:space="preserve">Case Study: </w:t>
                            </w:r>
                            <w:r w:rsidR="00B2016E">
                              <w:t>Adaptive management</w:t>
                            </w:r>
                          </w:p>
                          <w:p w14:paraId="4FA335DA" w14:textId="1A87C851" w:rsidR="009E78E9" w:rsidRDefault="004439D9" w:rsidP="009E78E9">
                            <w:pPr>
                              <w:pStyle w:val="ParagraphText-unnumbered"/>
                            </w:pPr>
                            <w:r>
                              <w:t>The Fleming Fund and Mott MacDonald adaptive management workplan</w:t>
                            </w:r>
                            <w:r w:rsidR="00D82F89">
                              <w:t xml:space="preserve"> helped to identify the need to better assess possible synergies between regional and country grants and other Fleming Fund investments.</w:t>
                            </w:r>
                          </w:p>
                          <w:p w14:paraId="754E3B49" w14:textId="45D66FE4" w:rsidR="00366745" w:rsidRDefault="004E47F3" w:rsidP="009E78E9">
                            <w:pPr>
                              <w:pStyle w:val="ParagraphText-unnumbered"/>
                            </w:pPr>
                            <w:r>
                              <w:t xml:space="preserve">The programme team </w:t>
                            </w:r>
                            <w:r w:rsidR="008D40C8">
                              <w:t xml:space="preserve">and MA </w:t>
                            </w:r>
                            <w:r>
                              <w:t xml:space="preserve">successfully </w:t>
                            </w:r>
                            <w:r w:rsidR="008D40C8">
                              <w:t>co</w:t>
                            </w:r>
                            <w:r w:rsidR="002F3963">
                              <w:t>-</w:t>
                            </w:r>
                            <w:r>
                              <w:t>developed a series of tools to help coordination, including</w:t>
                            </w:r>
                            <w:r w:rsidR="00DF0DEB">
                              <w:t xml:space="preserve"> </w:t>
                            </w:r>
                            <w:r w:rsidR="000C28B7">
                              <w:t>regional webinars</w:t>
                            </w:r>
                            <w:r>
                              <w:t xml:space="preserve"> </w:t>
                            </w:r>
                            <w:r w:rsidR="007D5BB4">
                              <w:t xml:space="preserve">and </w:t>
                            </w:r>
                            <w:r w:rsidR="00CD2545">
                              <w:t>a partners portal that supports sharing of information between partners</w:t>
                            </w:r>
                            <w:r w:rsidR="000C28B7">
                              <w:t>.</w:t>
                            </w:r>
                          </w:p>
                          <w:p w14:paraId="5873C9E0" w14:textId="018DC51A" w:rsidR="000C28B7" w:rsidRDefault="000A0064" w:rsidP="009E78E9">
                            <w:pPr>
                              <w:pStyle w:val="ParagraphText-unnumbered"/>
                            </w:pPr>
                            <w:r>
                              <w:t>Meetings between all regional grantees have helped strengthen collaboration and joint planning. These have been complemented by</w:t>
                            </w:r>
                            <w:r w:rsidR="000C28B7">
                              <w:t xml:space="preserve"> regional webinars </w:t>
                            </w:r>
                            <w:r w:rsidR="00D80089">
                              <w:t>that</w:t>
                            </w:r>
                            <w:r w:rsidR="000C28B7">
                              <w:t xml:space="preserve"> have greatly supported regional grants</w:t>
                            </w:r>
                            <w:r w:rsidR="00D80089">
                              <w:t>’</w:t>
                            </w:r>
                            <w:r w:rsidR="000C28B7">
                              <w:t xml:space="preserve"> </w:t>
                            </w:r>
                            <w:r w:rsidR="00BF62E5">
                              <w:t xml:space="preserve">impact. </w:t>
                            </w:r>
                          </w:p>
                          <w:p w14:paraId="124D75C1" w14:textId="7A148707" w:rsidR="000C28B7" w:rsidRPr="00380D75" w:rsidRDefault="000C28B7" w:rsidP="009E78E9">
                            <w:pPr>
                              <w:pStyle w:val="ParagraphText-unnumbered"/>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C0F24" id="_x0000_s1029" type="#_x0000_t202" style="position:absolute;margin-left:0;margin-top:120.15pt;width:456.5pt;height:212.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" fillcolor="#dfdfe0">
                <v:textbox>
                  <w:txbxContent>
                    <w:p w14:paraId="58D480F5" w14:textId="0B462A4D" w:rsidR="009E78E9" w:rsidRDefault="009E78E9" w:rsidP="009E78E9">
                      <w:pPr>
                        <w:pStyle w:val="Heading4"/>
                      </w:pPr>
                      <w:r>
                        <w:t xml:space="preserve">Case Study: </w:t>
                      </w:r>
                      <w:r w:rsidR="00B2016E">
                        <w:t>Adaptive management</w:t>
                      </w:r>
                    </w:p>
                    <w:p w14:paraId="4FA335DA" w14:textId="1A87C851" w:rsidR="009E78E9" w:rsidRDefault="004439D9" w:rsidP="009E78E9">
                      <w:pPr>
                        <w:pStyle w:val="ParagraphText-unnumbered"/>
                      </w:pPr>
                      <w:r>
                        <w:t>The Fleming Fund and Mott MacDonald adaptive management workplan</w:t>
                      </w:r>
                      <w:r w:rsidR="00D82F89">
                        <w:t xml:space="preserve"> helped to identify the need to better assess possible synergies between regional and country grants and other Fleming Fund investments.</w:t>
                      </w:r>
                    </w:p>
                    <w:p w14:paraId="754E3B49" w14:textId="45D66FE4" w:rsidR="00366745" w:rsidRDefault="004E47F3" w:rsidP="009E78E9">
                      <w:pPr>
                        <w:pStyle w:val="ParagraphText-unnumbered"/>
                      </w:pPr>
                      <w:r>
                        <w:t xml:space="preserve">The programme team </w:t>
                      </w:r>
                      <w:r w:rsidR="008D40C8">
                        <w:t xml:space="preserve">and MA </w:t>
                      </w:r>
                      <w:r>
                        <w:t xml:space="preserve">successfully </w:t>
                      </w:r>
                      <w:r w:rsidR="008D40C8">
                        <w:t>co</w:t>
                      </w:r>
                      <w:r w:rsidR="002F3963">
                        <w:t>-</w:t>
                      </w:r>
                      <w:r>
                        <w:t>developed a series of tools to help coordination, including</w:t>
                      </w:r>
                      <w:r w:rsidR="00DF0DEB">
                        <w:t xml:space="preserve"> </w:t>
                      </w:r>
                      <w:r w:rsidR="000C28B7">
                        <w:t>regional webinars</w:t>
                      </w:r>
                      <w:r>
                        <w:t xml:space="preserve"> </w:t>
                      </w:r>
                      <w:r w:rsidR="007D5BB4">
                        <w:t xml:space="preserve">and </w:t>
                      </w:r>
                      <w:r w:rsidR="00CD2545">
                        <w:t>a partners portal that supports sharing of information between partners</w:t>
                      </w:r>
                      <w:r w:rsidR="000C28B7">
                        <w:t>.</w:t>
                      </w:r>
                    </w:p>
                    <w:p w14:paraId="5873C9E0" w14:textId="018DC51A" w:rsidR="000C28B7" w:rsidRDefault="000A0064" w:rsidP="009E78E9">
                      <w:pPr>
                        <w:pStyle w:val="ParagraphText-unnumbered"/>
                      </w:pPr>
                      <w:r>
                        <w:t>Meetings between all regional grantees have helped strengthen collaboration and joint planning. These have been complemented by</w:t>
                      </w:r>
                      <w:r w:rsidR="000C28B7">
                        <w:t xml:space="preserve"> regional webinars </w:t>
                      </w:r>
                      <w:r w:rsidR="00D80089">
                        <w:t>that</w:t>
                      </w:r>
                      <w:r w:rsidR="000C28B7">
                        <w:t xml:space="preserve"> have greatly supported regional grants</w:t>
                      </w:r>
                      <w:r w:rsidR="00D80089">
                        <w:t>’</w:t>
                      </w:r>
                      <w:r w:rsidR="000C28B7">
                        <w:t xml:space="preserve"> </w:t>
                      </w:r>
                      <w:r w:rsidR="00BF62E5">
                        <w:t xml:space="preserve">impact. </w:t>
                      </w:r>
                    </w:p>
                    <w:p w14:paraId="124D75C1" w14:textId="7A148707" w:rsidR="000C28B7" w:rsidRPr="00380D75" w:rsidRDefault="000C28B7" w:rsidP="009E78E9">
                      <w:pPr>
                        <w:pStyle w:val="ParagraphText-unnumbered"/>
                      </w:pPr>
                    </w:p>
                  </w:txbxContent>
                </v:textbox>
                <w10:wrap type="topAndBottom" anchorx="margin"/>
              </v:shape>
            </w:pict>
          </mc:Fallback>
        </mc:AlternateContent>
      </w:r>
      <w:r w:rsidR="0059162D" w:rsidRPr="0059162D">
        <w:t xml:space="preserve">Together with the </w:t>
      </w:r>
      <w:r w:rsidR="009060D7">
        <w:t>Independent Evaluator</w:t>
      </w:r>
      <w:r w:rsidR="0059162D" w:rsidRPr="0059162D">
        <w:t xml:space="preserve">, the </w:t>
      </w:r>
      <w:r w:rsidR="008D40C8">
        <w:t>Management Agent</w:t>
      </w:r>
      <w:r w:rsidR="000827C2">
        <w:t xml:space="preserve"> and </w:t>
      </w:r>
      <w:r w:rsidR="008D40C8">
        <w:t>other</w:t>
      </w:r>
      <w:r w:rsidR="000827C2">
        <w:t xml:space="preserve"> delivery partners</w:t>
      </w:r>
      <w:r w:rsidR="0059162D" w:rsidRPr="0059162D">
        <w:t xml:space="preserve">, the Fleming Fund </w:t>
      </w:r>
      <w:r w:rsidR="003B16A6">
        <w:t>programme</w:t>
      </w:r>
      <w:r w:rsidR="003B16A6" w:rsidRPr="0059162D">
        <w:t xml:space="preserve"> </w:t>
      </w:r>
      <w:r w:rsidR="0059162D" w:rsidRPr="0059162D">
        <w:t xml:space="preserve">team have incorporated learnings throughout </w:t>
      </w:r>
      <w:r w:rsidR="00AC6BA2">
        <w:t>phase 1</w:t>
      </w:r>
      <w:r w:rsidR="0059162D" w:rsidRPr="0059162D">
        <w:t xml:space="preserve"> to continuously improve the programme. This has resulted in better knowledge of challenges faced and mitigation strategies for possible risks</w:t>
      </w:r>
      <w:r w:rsidR="005E2EE8">
        <w:t>.</w:t>
      </w:r>
      <w:r w:rsidR="006E2A70" w:rsidRPr="006E2A70">
        <w:t xml:space="preserve"> </w:t>
      </w:r>
      <w:r w:rsidR="00766224">
        <w:t xml:space="preserve">The ToC diagram was refined in consultation with the Independent Evaluator in 2021 to reflect learning from </w:t>
      </w:r>
      <w:r w:rsidR="00AC6BA2">
        <w:t>phase 1</w:t>
      </w:r>
      <w:r w:rsidR="00766224">
        <w:t xml:space="preserve"> and the </w:t>
      </w:r>
      <w:r w:rsidR="00AC6BA2">
        <w:t>phase 2</w:t>
      </w:r>
      <w:r w:rsidR="00766224">
        <w:t xml:space="preserve"> strategic shifts. It will be used as the foundation for the MEL framework</w:t>
      </w:r>
      <w:r w:rsidR="00065FF5">
        <w:t xml:space="preserve"> for </w:t>
      </w:r>
      <w:r w:rsidR="00AC6BA2">
        <w:t>phase 2</w:t>
      </w:r>
      <w:r w:rsidR="00766224">
        <w:t xml:space="preserve">. </w:t>
      </w:r>
    </w:p>
    <w:p w14:paraId="7A3B87C5" w14:textId="195D3290" w:rsidR="009E78E9" w:rsidRDefault="00041471" w:rsidP="009F657C">
      <w:pPr>
        <w:pStyle w:val="ParagraphText-unnumbered"/>
        <w:rPr>
          <w:rFonts w:eastAsiaTheme="minorHAnsi"/>
        </w:rPr>
      </w:pPr>
      <w:r>
        <w:rPr>
          <w:rFonts w:eastAsiaTheme="minorHAnsi"/>
        </w:rPr>
        <w:t>The Fleming Fund continue</w:t>
      </w:r>
      <w:r w:rsidR="000E434A">
        <w:rPr>
          <w:rFonts w:eastAsiaTheme="minorHAnsi"/>
        </w:rPr>
        <w:t xml:space="preserve">d </w:t>
      </w:r>
      <w:r>
        <w:rPr>
          <w:rFonts w:eastAsiaTheme="minorHAnsi"/>
        </w:rPr>
        <w:t xml:space="preserve">to </w:t>
      </w:r>
      <w:r w:rsidR="000E434A">
        <w:rPr>
          <w:rFonts w:eastAsiaTheme="minorHAnsi"/>
        </w:rPr>
        <w:t xml:space="preserve">assess lessons learned throughout 2021, whether on </w:t>
      </w:r>
      <w:r w:rsidR="000C1974">
        <w:rPr>
          <w:rFonts w:eastAsiaTheme="minorHAnsi"/>
        </w:rPr>
        <w:t>communica</w:t>
      </w:r>
      <w:r w:rsidR="00E42B6D">
        <w:rPr>
          <w:rFonts w:eastAsiaTheme="minorHAnsi"/>
        </w:rPr>
        <w:t>ti</w:t>
      </w:r>
      <w:r w:rsidR="000C1974">
        <w:rPr>
          <w:rFonts w:eastAsiaTheme="minorHAnsi"/>
        </w:rPr>
        <w:t>ons</w:t>
      </w:r>
      <w:r w:rsidR="000E434A">
        <w:rPr>
          <w:rFonts w:eastAsiaTheme="minorHAnsi"/>
        </w:rPr>
        <w:t xml:space="preserve">, internal team processes or </w:t>
      </w:r>
      <w:r w:rsidR="009F657C">
        <w:rPr>
          <w:rFonts w:eastAsiaTheme="minorHAnsi"/>
        </w:rPr>
        <w:t xml:space="preserve">global Fleming Fund </w:t>
      </w:r>
      <w:r w:rsidR="00E42B6D">
        <w:rPr>
          <w:rFonts w:eastAsiaTheme="minorHAnsi"/>
        </w:rPr>
        <w:t>partnerships</w:t>
      </w:r>
      <w:r w:rsidR="009F657C">
        <w:rPr>
          <w:rFonts w:eastAsiaTheme="minorHAnsi"/>
        </w:rPr>
        <w:t>.</w:t>
      </w:r>
      <w:r w:rsidR="004A174E">
        <w:rPr>
          <w:rFonts w:eastAsiaTheme="minorHAnsi"/>
        </w:rPr>
        <w:t xml:space="preserve"> The </w:t>
      </w:r>
      <w:r w:rsidR="003B16A6">
        <w:rPr>
          <w:rFonts w:eastAsiaTheme="minorHAnsi"/>
        </w:rPr>
        <w:t xml:space="preserve">programme </w:t>
      </w:r>
      <w:r w:rsidR="004A174E">
        <w:rPr>
          <w:rFonts w:eastAsiaTheme="minorHAnsi"/>
        </w:rPr>
        <w:t>team identified t</w:t>
      </w:r>
      <w:r w:rsidR="00CB032C">
        <w:rPr>
          <w:rFonts w:eastAsiaTheme="minorHAnsi"/>
        </w:rPr>
        <w:t>he need to make the programme more flexible by e</w:t>
      </w:r>
      <w:r w:rsidR="00C92832">
        <w:rPr>
          <w:rFonts w:eastAsiaTheme="minorHAnsi"/>
        </w:rPr>
        <w:t xml:space="preserve">mpowering local decision makers. This will be reflected </w:t>
      </w:r>
      <w:r w:rsidR="00331D2D">
        <w:rPr>
          <w:rFonts w:eastAsiaTheme="minorHAnsi"/>
        </w:rPr>
        <w:t xml:space="preserve">in </w:t>
      </w:r>
      <w:r w:rsidR="00AC6BA2">
        <w:rPr>
          <w:rFonts w:eastAsiaTheme="minorHAnsi"/>
        </w:rPr>
        <w:t>phase 2</w:t>
      </w:r>
      <w:r w:rsidR="00331D2D">
        <w:rPr>
          <w:rFonts w:eastAsiaTheme="minorHAnsi"/>
        </w:rPr>
        <w:t xml:space="preserve"> </w:t>
      </w:r>
      <w:r w:rsidR="0089289D">
        <w:rPr>
          <w:rFonts w:eastAsiaTheme="minorHAnsi"/>
        </w:rPr>
        <w:t>by emphasising outcomes rather than outputs in the evaluation process</w:t>
      </w:r>
      <w:r w:rsidR="00354164">
        <w:rPr>
          <w:rFonts w:eastAsiaTheme="minorHAnsi"/>
        </w:rPr>
        <w:t>, for example in the new Theory of Change.</w:t>
      </w:r>
      <w:r w:rsidR="00C65BF4">
        <w:rPr>
          <w:rFonts w:eastAsiaTheme="minorHAnsi"/>
        </w:rPr>
        <w:t xml:space="preserve"> </w:t>
      </w:r>
    </w:p>
    <w:p w14:paraId="6129F959" w14:textId="2981A714" w:rsidR="00C06E9F" w:rsidRPr="003318E1" w:rsidRDefault="0089289D" w:rsidP="003318E1">
      <w:pPr>
        <w:pStyle w:val="Boxedtext-greenborder"/>
        <w:rPr>
          <w:rFonts w:eastAsiaTheme="minorEastAsia"/>
        </w:rPr>
      </w:pPr>
      <w:r w:rsidRPr="0089289D">
        <w:rPr>
          <w:rStyle w:val="Bold"/>
        </w:rPr>
        <w:t>Recommendatio</w:t>
      </w:r>
      <w:r w:rsidR="00D072AA">
        <w:rPr>
          <w:rStyle w:val="Bold"/>
        </w:rPr>
        <w:t>n</w:t>
      </w:r>
      <w:r w:rsidR="00A1765F">
        <w:rPr>
          <w:rStyle w:val="Bold"/>
        </w:rPr>
        <w:t xml:space="preserve"> </w:t>
      </w:r>
      <w:r w:rsidR="00282120">
        <w:rPr>
          <w:rStyle w:val="Bold"/>
        </w:rPr>
        <w:t>9</w:t>
      </w:r>
      <w:r w:rsidR="00D072AA">
        <w:rPr>
          <w:rStyle w:val="Bold"/>
        </w:rPr>
        <w:t xml:space="preserve">: </w:t>
      </w:r>
      <w:r w:rsidR="0091745D" w:rsidRPr="0091745D">
        <w:t>Further embed</w:t>
      </w:r>
      <w:r w:rsidR="00CE6F78" w:rsidRPr="00CE6F78">
        <w:t xml:space="preserve"> adaptive management approaches into phase 2 delivery by: a) supporting the inclusion of adaptive management into grant agreements and monitoring progress (for example quarterly reviews); b) implementing the lessons from the regional grants on the role of early reviews of grant performance trajectory and optimism bias.</w:t>
      </w:r>
    </w:p>
    <w:p w14:paraId="3925AB78" w14:textId="2ED20078" w:rsidR="009B047D" w:rsidRDefault="00C06E9F" w:rsidP="00D15948">
      <w:pPr>
        <w:pStyle w:val="Heading2"/>
        <w:rPr>
          <w:rFonts w:eastAsiaTheme="minorEastAsia"/>
        </w:rPr>
      </w:pPr>
      <w:bookmarkStart w:id="4" w:name="_Annex_A:_FCDO"/>
      <w:bookmarkEnd w:id="4"/>
      <w:r>
        <w:rPr>
          <w:rFonts w:eastAsiaTheme="minorEastAsia"/>
        </w:rPr>
        <w:lastRenderedPageBreak/>
        <w:t xml:space="preserve">Annex A: FCDO </w:t>
      </w:r>
      <w:r w:rsidR="009B047D">
        <w:rPr>
          <w:rFonts w:eastAsiaTheme="minorEastAsia"/>
        </w:rPr>
        <w:t>Project Performance Scale</w:t>
      </w:r>
    </w:p>
    <w:p w14:paraId="3FBE82AE" w14:textId="77777777" w:rsidR="009B047D" w:rsidRPr="009B047D" w:rsidRDefault="009B047D" w:rsidP="009B047D">
      <w:pPr>
        <w:spacing w:after="284" w:line="324" w:lineRule="exact"/>
      </w:pPr>
      <w:r w:rsidRPr="009B047D">
        <w:t>This report assesses the project and output scores against the following FCDO scale:</w:t>
      </w:r>
    </w:p>
    <w:tbl>
      <w:tblPr>
        <w:tblStyle w:val="DHSCtable"/>
        <w:tblW w:w="9729" w:type="dxa"/>
        <w:tblLook w:val="04A0" w:firstRow="1" w:lastRow="0" w:firstColumn="1" w:lastColumn="0" w:noHBand="0" w:noVBand="1"/>
      </w:tblPr>
      <w:tblGrid>
        <w:gridCol w:w="936"/>
        <w:gridCol w:w="4344"/>
        <w:gridCol w:w="4449"/>
      </w:tblGrid>
      <w:tr w:rsidR="009B047D" w:rsidRPr="009B047D" w14:paraId="148696E1" w14:textId="77777777" w:rsidTr="00B05AAC">
        <w:trPr>
          <w:cnfStyle w:val="100000000000" w:firstRow="1" w:lastRow="0" w:firstColumn="0" w:lastColumn="0" w:oddVBand="0" w:evenVBand="0" w:oddHBand="0" w:evenHBand="0" w:firstRowFirstColumn="0" w:firstRowLastColumn="0" w:lastRowFirstColumn="0" w:lastRowLastColumn="0"/>
          <w:trHeight w:val="266"/>
        </w:trPr>
        <w:tc>
          <w:tcPr>
            <w:tcW w:w="936" w:type="dxa"/>
          </w:tcPr>
          <w:p w14:paraId="0AA831BB" w14:textId="77777777" w:rsidR="009B047D" w:rsidRPr="009B047D" w:rsidRDefault="009B047D" w:rsidP="009B047D">
            <w:pPr>
              <w:rPr>
                <w:rFonts w:ascii="Arial" w:hAnsi="Arial" w:cs="Arial"/>
                <w:bCs/>
              </w:rPr>
            </w:pPr>
            <w:r w:rsidRPr="009B047D">
              <w:rPr>
                <w:rFonts w:ascii="Arial" w:hAnsi="Arial" w:cs="Arial"/>
                <w:bCs/>
              </w:rPr>
              <w:t>Score</w:t>
            </w:r>
          </w:p>
        </w:tc>
        <w:tc>
          <w:tcPr>
            <w:tcW w:w="4344" w:type="dxa"/>
          </w:tcPr>
          <w:p w14:paraId="71888CED" w14:textId="77777777" w:rsidR="009B047D" w:rsidRPr="009B047D" w:rsidRDefault="009B047D" w:rsidP="009B047D">
            <w:pPr>
              <w:rPr>
                <w:rFonts w:ascii="Arial" w:hAnsi="Arial" w:cs="Arial"/>
              </w:rPr>
            </w:pPr>
            <w:r w:rsidRPr="009B047D">
              <w:rPr>
                <w:rFonts w:ascii="Arial" w:hAnsi="Arial" w:cs="Arial"/>
              </w:rPr>
              <w:t>Output Description</w:t>
            </w:r>
          </w:p>
        </w:tc>
        <w:tc>
          <w:tcPr>
            <w:tcW w:w="4449" w:type="dxa"/>
          </w:tcPr>
          <w:p w14:paraId="1E935091" w14:textId="77777777" w:rsidR="009B047D" w:rsidRPr="009B047D" w:rsidRDefault="009B047D" w:rsidP="009B047D">
            <w:pPr>
              <w:rPr>
                <w:rFonts w:ascii="Arial" w:hAnsi="Arial" w:cs="Arial"/>
              </w:rPr>
            </w:pPr>
            <w:r w:rsidRPr="009B047D">
              <w:rPr>
                <w:rFonts w:ascii="Arial" w:hAnsi="Arial" w:cs="Arial"/>
              </w:rPr>
              <w:t>Outcome Description</w:t>
            </w:r>
          </w:p>
        </w:tc>
      </w:tr>
      <w:tr w:rsidR="009B047D" w:rsidRPr="009B047D" w14:paraId="0A989D4F" w14:textId="77777777" w:rsidTr="00B05AAC">
        <w:trPr>
          <w:trHeight w:val="532"/>
        </w:trPr>
        <w:tc>
          <w:tcPr>
            <w:tcW w:w="936" w:type="dxa"/>
          </w:tcPr>
          <w:p w14:paraId="0A57052A" w14:textId="77777777" w:rsidR="009B047D" w:rsidRPr="009B047D" w:rsidRDefault="009B047D" w:rsidP="009B047D">
            <w:pPr>
              <w:rPr>
                <w:rFonts w:cs="Arial"/>
                <w:bCs/>
              </w:rPr>
            </w:pPr>
            <w:r w:rsidRPr="009B047D">
              <w:rPr>
                <w:rFonts w:cs="Arial"/>
                <w:bCs/>
              </w:rPr>
              <w:t>A++</w:t>
            </w:r>
          </w:p>
        </w:tc>
        <w:tc>
          <w:tcPr>
            <w:tcW w:w="4344" w:type="dxa"/>
          </w:tcPr>
          <w:p w14:paraId="476DE46A" w14:textId="77777777" w:rsidR="009B047D" w:rsidRPr="009B047D" w:rsidRDefault="009B047D" w:rsidP="009B047D">
            <w:pPr>
              <w:rPr>
                <w:rFonts w:cs="Arial"/>
                <w:bCs/>
              </w:rPr>
            </w:pPr>
            <w:r w:rsidRPr="009B047D">
              <w:rPr>
                <w:rFonts w:cs="Arial"/>
                <w:bCs/>
              </w:rPr>
              <w:t>Outputs substantially exceeded expectation</w:t>
            </w:r>
          </w:p>
        </w:tc>
        <w:tc>
          <w:tcPr>
            <w:tcW w:w="4449" w:type="dxa"/>
          </w:tcPr>
          <w:p w14:paraId="5DE08D46" w14:textId="77777777" w:rsidR="009B047D" w:rsidRPr="009B047D" w:rsidRDefault="009B047D" w:rsidP="009B047D">
            <w:pPr>
              <w:rPr>
                <w:rFonts w:cs="Arial"/>
                <w:bCs/>
              </w:rPr>
            </w:pPr>
            <w:r w:rsidRPr="009B047D">
              <w:rPr>
                <w:rFonts w:cs="Arial"/>
                <w:bCs/>
              </w:rPr>
              <w:t>Outcome substantially exceeded expectation</w:t>
            </w:r>
          </w:p>
        </w:tc>
      </w:tr>
      <w:tr w:rsidR="009B047D" w:rsidRPr="009B047D" w14:paraId="4D603C3C" w14:textId="77777777" w:rsidTr="00B05AAC">
        <w:trPr>
          <w:trHeight w:val="546"/>
        </w:trPr>
        <w:tc>
          <w:tcPr>
            <w:tcW w:w="936" w:type="dxa"/>
          </w:tcPr>
          <w:p w14:paraId="1BD7A23D" w14:textId="77777777" w:rsidR="009B047D" w:rsidRPr="009B047D" w:rsidRDefault="009B047D" w:rsidP="009B047D">
            <w:pPr>
              <w:rPr>
                <w:rFonts w:cs="Arial"/>
                <w:bCs/>
              </w:rPr>
            </w:pPr>
            <w:r w:rsidRPr="009B047D">
              <w:rPr>
                <w:rFonts w:cs="Arial"/>
                <w:bCs/>
              </w:rPr>
              <w:t>A+</w:t>
            </w:r>
          </w:p>
        </w:tc>
        <w:tc>
          <w:tcPr>
            <w:tcW w:w="4344" w:type="dxa"/>
          </w:tcPr>
          <w:p w14:paraId="3A77BD07" w14:textId="77777777" w:rsidR="009B047D" w:rsidRPr="009B047D" w:rsidRDefault="009B047D" w:rsidP="009B047D">
            <w:pPr>
              <w:rPr>
                <w:rFonts w:cs="Arial"/>
                <w:bCs/>
              </w:rPr>
            </w:pPr>
            <w:r w:rsidRPr="009B047D">
              <w:rPr>
                <w:rFonts w:cs="Arial"/>
                <w:bCs/>
              </w:rPr>
              <w:t>Outputs moderately exceeded expectation</w:t>
            </w:r>
          </w:p>
        </w:tc>
        <w:tc>
          <w:tcPr>
            <w:tcW w:w="4449" w:type="dxa"/>
          </w:tcPr>
          <w:p w14:paraId="1E9B783B" w14:textId="77777777" w:rsidR="009B047D" w:rsidRPr="009B047D" w:rsidRDefault="009B047D" w:rsidP="009B047D">
            <w:pPr>
              <w:rPr>
                <w:rFonts w:cs="Arial"/>
                <w:bCs/>
              </w:rPr>
            </w:pPr>
            <w:r w:rsidRPr="009B047D">
              <w:rPr>
                <w:rFonts w:cs="Arial"/>
                <w:bCs/>
              </w:rPr>
              <w:t>Outcome moderately exceeded expectation</w:t>
            </w:r>
          </w:p>
        </w:tc>
      </w:tr>
      <w:tr w:rsidR="009B047D" w:rsidRPr="009B047D" w14:paraId="63DBC883" w14:textId="77777777" w:rsidTr="00B05AAC">
        <w:trPr>
          <w:trHeight w:val="266"/>
        </w:trPr>
        <w:tc>
          <w:tcPr>
            <w:tcW w:w="936" w:type="dxa"/>
          </w:tcPr>
          <w:p w14:paraId="7FF3AA9A" w14:textId="77777777" w:rsidR="009B047D" w:rsidRPr="009B047D" w:rsidRDefault="009B047D" w:rsidP="009B047D">
            <w:pPr>
              <w:rPr>
                <w:rFonts w:cs="Arial"/>
                <w:bCs/>
              </w:rPr>
            </w:pPr>
            <w:r w:rsidRPr="009B047D">
              <w:rPr>
                <w:rFonts w:cs="Arial"/>
                <w:bCs/>
              </w:rPr>
              <w:t>A</w:t>
            </w:r>
          </w:p>
        </w:tc>
        <w:tc>
          <w:tcPr>
            <w:tcW w:w="4344" w:type="dxa"/>
          </w:tcPr>
          <w:p w14:paraId="41E4C9DC" w14:textId="77777777" w:rsidR="009B047D" w:rsidRPr="009B047D" w:rsidRDefault="009B047D" w:rsidP="009B047D">
            <w:pPr>
              <w:rPr>
                <w:rFonts w:cs="Arial"/>
                <w:bCs/>
              </w:rPr>
            </w:pPr>
            <w:r w:rsidRPr="009B047D">
              <w:rPr>
                <w:rFonts w:cs="Arial"/>
                <w:bCs/>
              </w:rPr>
              <w:t>Outputs met expectation</w:t>
            </w:r>
          </w:p>
        </w:tc>
        <w:tc>
          <w:tcPr>
            <w:tcW w:w="4449" w:type="dxa"/>
          </w:tcPr>
          <w:p w14:paraId="0120D6C4" w14:textId="77777777" w:rsidR="009B047D" w:rsidRPr="009B047D" w:rsidRDefault="009B047D" w:rsidP="009B047D">
            <w:pPr>
              <w:rPr>
                <w:rFonts w:cs="Arial"/>
                <w:bCs/>
              </w:rPr>
            </w:pPr>
            <w:r w:rsidRPr="009B047D">
              <w:rPr>
                <w:rFonts w:cs="Arial"/>
                <w:bCs/>
              </w:rPr>
              <w:t>Outcome met expectation</w:t>
            </w:r>
          </w:p>
        </w:tc>
      </w:tr>
      <w:tr w:rsidR="009B047D" w:rsidRPr="009B047D" w14:paraId="6A19504D" w14:textId="77777777" w:rsidTr="00B05AAC">
        <w:trPr>
          <w:trHeight w:val="62"/>
        </w:trPr>
        <w:tc>
          <w:tcPr>
            <w:tcW w:w="936" w:type="dxa"/>
          </w:tcPr>
          <w:p w14:paraId="01A822FC" w14:textId="77777777" w:rsidR="009B047D" w:rsidRPr="009B047D" w:rsidRDefault="009B047D" w:rsidP="009B047D">
            <w:pPr>
              <w:rPr>
                <w:rFonts w:cs="Arial"/>
                <w:bCs/>
              </w:rPr>
            </w:pPr>
            <w:r w:rsidRPr="009B047D">
              <w:rPr>
                <w:rFonts w:cs="Arial"/>
                <w:bCs/>
              </w:rPr>
              <w:t>B</w:t>
            </w:r>
          </w:p>
        </w:tc>
        <w:tc>
          <w:tcPr>
            <w:tcW w:w="4344" w:type="dxa"/>
          </w:tcPr>
          <w:p w14:paraId="2A52D0E0" w14:textId="77777777" w:rsidR="009B047D" w:rsidRPr="009B047D" w:rsidRDefault="009B047D" w:rsidP="009B047D">
            <w:pPr>
              <w:rPr>
                <w:rFonts w:cs="Arial"/>
                <w:bCs/>
              </w:rPr>
            </w:pPr>
            <w:r w:rsidRPr="009B047D">
              <w:rPr>
                <w:rFonts w:cs="Arial"/>
                <w:bCs/>
              </w:rPr>
              <w:t>Outputs moderately did not meet expectation</w:t>
            </w:r>
          </w:p>
        </w:tc>
        <w:tc>
          <w:tcPr>
            <w:tcW w:w="4449" w:type="dxa"/>
          </w:tcPr>
          <w:p w14:paraId="4623E51C" w14:textId="77777777" w:rsidR="009B047D" w:rsidRPr="009B047D" w:rsidRDefault="009B047D" w:rsidP="009B047D">
            <w:pPr>
              <w:rPr>
                <w:rFonts w:cs="Arial"/>
                <w:bCs/>
              </w:rPr>
            </w:pPr>
            <w:r w:rsidRPr="009B047D">
              <w:rPr>
                <w:rFonts w:cs="Arial"/>
                <w:bCs/>
              </w:rPr>
              <w:t>Outcome moderately did not meet expectation</w:t>
            </w:r>
          </w:p>
        </w:tc>
      </w:tr>
      <w:tr w:rsidR="009B047D" w:rsidRPr="009B047D" w14:paraId="3CCA1CC4" w14:textId="77777777" w:rsidTr="00B05AAC">
        <w:trPr>
          <w:trHeight w:val="532"/>
        </w:trPr>
        <w:tc>
          <w:tcPr>
            <w:tcW w:w="936" w:type="dxa"/>
          </w:tcPr>
          <w:p w14:paraId="682A9C7F" w14:textId="77777777" w:rsidR="009B047D" w:rsidRPr="009B047D" w:rsidRDefault="009B047D" w:rsidP="009B047D">
            <w:pPr>
              <w:rPr>
                <w:rFonts w:cs="Arial"/>
                <w:bCs/>
              </w:rPr>
            </w:pPr>
            <w:r w:rsidRPr="009B047D">
              <w:rPr>
                <w:rFonts w:cs="Arial"/>
                <w:bCs/>
              </w:rPr>
              <w:t>C</w:t>
            </w:r>
          </w:p>
        </w:tc>
        <w:tc>
          <w:tcPr>
            <w:tcW w:w="4344" w:type="dxa"/>
          </w:tcPr>
          <w:p w14:paraId="45C29E03" w14:textId="77777777" w:rsidR="009B047D" w:rsidRPr="009B047D" w:rsidRDefault="009B047D" w:rsidP="009B047D">
            <w:pPr>
              <w:rPr>
                <w:rFonts w:cs="Arial"/>
                <w:bCs/>
              </w:rPr>
            </w:pPr>
            <w:r w:rsidRPr="009B047D">
              <w:rPr>
                <w:rFonts w:cs="Arial"/>
                <w:bCs/>
              </w:rPr>
              <w:t>Outputs substantially did not meet expectation</w:t>
            </w:r>
          </w:p>
        </w:tc>
        <w:tc>
          <w:tcPr>
            <w:tcW w:w="4449" w:type="dxa"/>
          </w:tcPr>
          <w:p w14:paraId="5634A5D1" w14:textId="77777777" w:rsidR="009B047D" w:rsidRPr="009B047D" w:rsidRDefault="009B047D" w:rsidP="009B047D">
            <w:pPr>
              <w:rPr>
                <w:rFonts w:cs="Arial"/>
                <w:bCs/>
              </w:rPr>
            </w:pPr>
            <w:r w:rsidRPr="009B047D">
              <w:rPr>
                <w:rFonts w:cs="Arial"/>
                <w:bCs/>
              </w:rPr>
              <w:t>Outcome substantially did not meet expectation</w:t>
            </w:r>
          </w:p>
        </w:tc>
      </w:tr>
    </w:tbl>
    <w:p w14:paraId="481AED7E" w14:textId="4B9E663A" w:rsidR="0060113A" w:rsidRPr="00C42F2F" w:rsidRDefault="0060113A" w:rsidP="009B047D">
      <w:pPr>
        <w:pStyle w:val="ParagraphText-unnumbered"/>
        <w:rPr>
          <w:rFonts w:eastAsiaTheme="minorEastAsia"/>
        </w:rPr>
      </w:pPr>
    </w:p>
    <w:sectPr w:rsidR="0060113A" w:rsidRPr="00C42F2F" w:rsidSect="001A2C3B">
      <w:headerReference w:type="even" r:id="rId42"/>
      <w:pgSz w:w="11906" w:h="16838" w:code="9"/>
      <w:pgMar w:top="164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3E04" w14:textId="77777777" w:rsidR="00DB0EBA" w:rsidRDefault="00DB0EBA"/>
  </w:endnote>
  <w:endnote w:type="continuationSeparator" w:id="0">
    <w:p w14:paraId="0EFD60F3" w14:textId="77777777" w:rsidR="00DB0EBA" w:rsidRDefault="00DB0EBA">
      <w:r>
        <w:continuationSeparator/>
      </w:r>
    </w:p>
    <w:p w14:paraId="297D14C2" w14:textId="77777777" w:rsidR="00DB0EBA" w:rsidRDefault="00DB0EBA"/>
    <w:p w14:paraId="3E921F15" w14:textId="77777777" w:rsidR="00DB0EBA" w:rsidRDefault="00DB0EBA"/>
  </w:endnote>
  <w:endnote w:type="continuationNotice" w:id="1">
    <w:p w14:paraId="7274269E" w14:textId="77777777" w:rsidR="00DB0EBA" w:rsidRDefault="00DB0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1FFC" w14:textId="77777777" w:rsidR="004519E0" w:rsidRDefault="004519E0" w:rsidP="009123FB">
    <w:pPr>
      <w:pStyle w:val="Footer"/>
    </w:pPr>
    <w:r>
      <w:fldChar w:fldCharType="begin"/>
    </w:r>
    <w:r>
      <w:instrText xml:space="preserve">PAGE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96A4" w14:textId="77777777" w:rsidR="004519E0" w:rsidRDefault="004519E0" w:rsidP="009123FB">
    <w:pPr>
      <w:pStyle w:val="Footer"/>
    </w:pPr>
    <w:r>
      <w:fldChar w:fldCharType="begin"/>
    </w:r>
    <w:r>
      <w:instrText xml:space="preserve">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6BC22" w14:textId="77777777" w:rsidR="00DB0EBA" w:rsidRDefault="00DB0EBA">
      <w:r>
        <w:separator/>
      </w:r>
    </w:p>
    <w:p w14:paraId="677C223E" w14:textId="77777777" w:rsidR="00DB0EBA" w:rsidRDefault="00DB0EBA" w:rsidP="005D25DC"/>
  </w:footnote>
  <w:footnote w:type="continuationSeparator" w:id="0">
    <w:p w14:paraId="7F424520" w14:textId="77777777" w:rsidR="00DB0EBA" w:rsidRDefault="00DB0EBA">
      <w:r>
        <w:continuationSeparator/>
      </w:r>
    </w:p>
    <w:p w14:paraId="2C62DEED" w14:textId="77777777" w:rsidR="00DB0EBA" w:rsidRDefault="00DB0EBA"/>
    <w:p w14:paraId="680EFF24" w14:textId="77777777" w:rsidR="00DB0EBA" w:rsidRDefault="00DB0EBA"/>
  </w:footnote>
  <w:footnote w:type="continuationNotice" w:id="1">
    <w:p w14:paraId="2DFC5B4F" w14:textId="77777777" w:rsidR="00DB0EBA" w:rsidRDefault="00DB0EBA"/>
  </w:footnote>
  <w:footnote w:id="2">
    <w:p w14:paraId="2FF58305" w14:textId="70728305" w:rsidR="00C06E9F" w:rsidRDefault="00C06E9F">
      <w:pPr>
        <w:pStyle w:val="FootnoteText"/>
      </w:pPr>
      <w:r>
        <w:rPr>
          <w:rStyle w:val="FootnoteReference"/>
        </w:rPr>
        <w:footnoteRef/>
      </w:r>
      <w:r>
        <w:t xml:space="preserve"> </w:t>
      </w:r>
      <w:r w:rsidR="00D15948" w:rsidRPr="00D15948">
        <w:t>Scored based on the FCDO programme scale (see</w:t>
      </w:r>
      <w:hyperlink w:anchor="_Annex_A:_FCDO" w:history="1">
        <w:r w:rsidR="00D15948" w:rsidRPr="00FD66CD">
          <w:rPr>
            <w:rStyle w:val="Hyperlink"/>
          </w:rPr>
          <w:t xml:space="preserve"> Annex A</w:t>
        </w:r>
      </w:hyperlink>
      <w:r w:rsidR="00D15948" w:rsidRPr="00D15948">
        <w:t>)</w:t>
      </w:r>
    </w:p>
  </w:footnote>
  <w:footnote w:id="3">
    <w:p w14:paraId="6C1C0D11" w14:textId="69EAAC8F" w:rsidR="00D15948" w:rsidRDefault="00D15948">
      <w:pPr>
        <w:pStyle w:val="FootnoteText"/>
      </w:pPr>
      <w:r>
        <w:rPr>
          <w:rStyle w:val="FootnoteReference"/>
        </w:rPr>
        <w:footnoteRef/>
      </w:r>
      <w:r>
        <w:t xml:space="preserve"> Scored based on the FCDO programme scale (see </w:t>
      </w:r>
      <w:hyperlink w:anchor="_Annex_A:_FCDO" w:history="1">
        <w:r w:rsidRPr="00D15948">
          <w:rPr>
            <w:rStyle w:val="Hyperlink"/>
          </w:rPr>
          <w:t>Annex A</w:t>
        </w:r>
      </w:hyperlink>
      <w:r>
        <w:t>)</w:t>
      </w:r>
    </w:p>
  </w:footnote>
  <w:footnote w:id="4">
    <w:p w14:paraId="6D19724F" w14:textId="69896FE6" w:rsidR="00870533" w:rsidRDefault="00870533">
      <w:pPr>
        <w:pStyle w:val="FootnoteText"/>
      </w:pPr>
      <w:r>
        <w:rPr>
          <w:rStyle w:val="FootnoteReference"/>
        </w:rPr>
        <w:footnoteRef/>
      </w:r>
      <w:r>
        <w:t xml:space="preserve"> </w:t>
      </w:r>
      <w:r w:rsidRPr="00870533">
        <w:t>Tackling antimicrobial resistance together, WHO, 2018</w:t>
      </w:r>
    </w:p>
  </w:footnote>
  <w:footnote w:id="5">
    <w:p w14:paraId="4777957A" w14:textId="71919B9B" w:rsidR="00567ADF" w:rsidRDefault="00567ADF">
      <w:pPr>
        <w:pStyle w:val="FootnoteText"/>
      </w:pPr>
      <w:r>
        <w:rPr>
          <w:rStyle w:val="FootnoteReference"/>
        </w:rPr>
        <w:footnoteRef/>
      </w:r>
      <w:r>
        <w:t xml:space="preserve"> </w:t>
      </w:r>
      <w:r w:rsidR="003F52E4">
        <w:t>Ramalingam, Wild and Buffardi,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982AF57" w14:paraId="0E138442" w14:textId="77777777" w:rsidTr="6982AF57">
      <w:tc>
        <w:tcPr>
          <w:tcW w:w="3210" w:type="dxa"/>
        </w:tcPr>
        <w:p w14:paraId="297E1BFF" w14:textId="3D304635" w:rsidR="6982AF57" w:rsidRDefault="6982AF57" w:rsidP="6982AF57">
          <w:pPr>
            <w:pStyle w:val="Header"/>
            <w:ind w:left="-115"/>
            <w:rPr>
              <w:bCs/>
              <w:szCs w:val="18"/>
            </w:rPr>
          </w:pPr>
        </w:p>
      </w:tc>
      <w:tc>
        <w:tcPr>
          <w:tcW w:w="3210" w:type="dxa"/>
        </w:tcPr>
        <w:p w14:paraId="30F431BA" w14:textId="55E35868" w:rsidR="6982AF57" w:rsidRDefault="6982AF57" w:rsidP="6982AF57">
          <w:pPr>
            <w:pStyle w:val="Header"/>
            <w:jc w:val="center"/>
            <w:rPr>
              <w:bCs/>
              <w:szCs w:val="18"/>
            </w:rPr>
          </w:pPr>
        </w:p>
      </w:tc>
      <w:tc>
        <w:tcPr>
          <w:tcW w:w="3210" w:type="dxa"/>
        </w:tcPr>
        <w:p w14:paraId="0D52A543" w14:textId="3A43329C" w:rsidR="6982AF57" w:rsidRDefault="6982AF57" w:rsidP="6982AF57">
          <w:pPr>
            <w:pStyle w:val="Header"/>
            <w:ind w:right="-115"/>
            <w:jc w:val="right"/>
            <w:rPr>
              <w:bCs/>
              <w:szCs w:val="18"/>
            </w:rPr>
          </w:pPr>
        </w:p>
      </w:tc>
    </w:tr>
  </w:tbl>
  <w:p w14:paraId="6B11FE32" w14:textId="425C2CC2" w:rsidR="004F705B" w:rsidRDefault="004F7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1419" w14:textId="4778BA7C" w:rsidR="004519E0" w:rsidRPr="00242B95" w:rsidRDefault="004519E0" w:rsidP="00242B95">
    <w:pPr>
      <w:pStyle w:val="Header"/>
    </w:pPr>
    <w:r>
      <w:t>Fleming Fund Annual Review: January to December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4519E0" w14:paraId="01D51397" w14:textId="77777777" w:rsidTr="00B20670">
      <w:trPr>
        <w:trHeight w:val="1695"/>
      </w:trPr>
      <w:tc>
        <w:tcPr>
          <w:tcW w:w="4814" w:type="dxa"/>
          <w:vAlign w:val="bottom"/>
        </w:tcPr>
        <w:p w14:paraId="7E889E02" w14:textId="77777777" w:rsidR="004519E0" w:rsidRDefault="004519E0" w:rsidP="00242B95">
          <w:pPr>
            <w:pStyle w:val="Header"/>
          </w:pPr>
        </w:p>
      </w:tc>
      <w:tc>
        <w:tcPr>
          <w:tcW w:w="4814" w:type="dxa"/>
          <w:vAlign w:val="bottom"/>
        </w:tcPr>
        <w:p w14:paraId="5A22BDB8" w14:textId="77777777" w:rsidR="004519E0" w:rsidRPr="00242B95" w:rsidRDefault="004519E0" w:rsidP="00242B95">
          <w:pPr>
            <w:pStyle w:val="Header"/>
          </w:pPr>
        </w:p>
      </w:tc>
    </w:tr>
  </w:tbl>
  <w:p w14:paraId="665D2FDD" w14:textId="77777777" w:rsidR="004519E0" w:rsidRPr="00242B95" w:rsidRDefault="004519E0" w:rsidP="00242B95">
    <w:pPr>
      <w:pStyle w:val="Header"/>
    </w:pPr>
    <w:r w:rsidRPr="00242B95">
      <w:rPr>
        <w:noProof/>
      </w:rPr>
      <w:drawing>
        <wp:anchor distT="0" distB="0" distL="114300" distR="114300" simplePos="0" relativeHeight="251658240" behindDoc="1" locked="1" layoutInCell="0" allowOverlap="1" wp14:anchorId="1A3F5589" wp14:editId="0AC13713">
          <wp:simplePos x="0" y="0"/>
          <wp:positionH relativeFrom="page">
            <wp:align>center</wp:align>
          </wp:positionH>
          <wp:positionV relativeFrom="page">
            <wp:align>top</wp:align>
          </wp:positionV>
          <wp:extent cx="7560000" cy="1069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Ministry of Justice - Description: Ministry of Justice, Protecting and advancing the principles of justi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982AF57" w14:paraId="461C39E9" w14:textId="77777777" w:rsidTr="6982AF57">
      <w:tc>
        <w:tcPr>
          <w:tcW w:w="3210" w:type="dxa"/>
        </w:tcPr>
        <w:p w14:paraId="7AC62598" w14:textId="0F7E2D68" w:rsidR="6982AF57" w:rsidRDefault="6982AF57" w:rsidP="6982AF57">
          <w:pPr>
            <w:pStyle w:val="Header"/>
            <w:ind w:left="-115"/>
            <w:rPr>
              <w:bCs/>
              <w:szCs w:val="18"/>
            </w:rPr>
          </w:pPr>
        </w:p>
      </w:tc>
      <w:tc>
        <w:tcPr>
          <w:tcW w:w="3210" w:type="dxa"/>
        </w:tcPr>
        <w:p w14:paraId="34D307E7" w14:textId="4B70516F" w:rsidR="6982AF57" w:rsidRDefault="6982AF57" w:rsidP="6982AF57">
          <w:pPr>
            <w:pStyle w:val="Header"/>
            <w:jc w:val="center"/>
            <w:rPr>
              <w:bCs/>
              <w:szCs w:val="18"/>
            </w:rPr>
          </w:pPr>
        </w:p>
      </w:tc>
      <w:tc>
        <w:tcPr>
          <w:tcW w:w="3210" w:type="dxa"/>
        </w:tcPr>
        <w:p w14:paraId="0F7FD60D" w14:textId="7C7A0A62" w:rsidR="6982AF57" w:rsidRDefault="6982AF57" w:rsidP="6982AF57">
          <w:pPr>
            <w:pStyle w:val="Header"/>
            <w:ind w:right="-115"/>
            <w:jc w:val="right"/>
            <w:rPr>
              <w:bCs/>
              <w:szCs w:val="18"/>
            </w:rPr>
          </w:pPr>
        </w:p>
      </w:tc>
    </w:tr>
  </w:tbl>
  <w:p w14:paraId="5A32B3F3" w14:textId="5DEAD1B0" w:rsidR="004F705B" w:rsidRDefault="004F70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85"/>
      <w:gridCol w:w="4685"/>
      <w:gridCol w:w="4685"/>
    </w:tblGrid>
    <w:tr w:rsidR="6982AF57" w14:paraId="32357C9B" w14:textId="77777777" w:rsidTr="6982AF57">
      <w:tc>
        <w:tcPr>
          <w:tcW w:w="4685" w:type="dxa"/>
        </w:tcPr>
        <w:p w14:paraId="1D8E13F4" w14:textId="3477D138" w:rsidR="6982AF57" w:rsidRDefault="6982AF57" w:rsidP="6982AF57">
          <w:pPr>
            <w:pStyle w:val="Header"/>
            <w:ind w:left="-115"/>
            <w:rPr>
              <w:bCs/>
              <w:szCs w:val="18"/>
            </w:rPr>
          </w:pPr>
        </w:p>
      </w:tc>
      <w:tc>
        <w:tcPr>
          <w:tcW w:w="4685" w:type="dxa"/>
        </w:tcPr>
        <w:p w14:paraId="02ED7AC7" w14:textId="77A78141" w:rsidR="6982AF57" w:rsidRDefault="6982AF57" w:rsidP="6982AF57">
          <w:pPr>
            <w:pStyle w:val="Header"/>
            <w:jc w:val="center"/>
            <w:rPr>
              <w:bCs/>
              <w:szCs w:val="18"/>
            </w:rPr>
          </w:pPr>
        </w:p>
      </w:tc>
      <w:tc>
        <w:tcPr>
          <w:tcW w:w="4685" w:type="dxa"/>
        </w:tcPr>
        <w:p w14:paraId="746FC81E" w14:textId="2343A9B7" w:rsidR="6982AF57" w:rsidRDefault="6982AF57" w:rsidP="6982AF57">
          <w:pPr>
            <w:pStyle w:val="Header"/>
            <w:ind w:right="-115"/>
            <w:jc w:val="right"/>
            <w:rPr>
              <w:bCs/>
              <w:szCs w:val="18"/>
            </w:rPr>
          </w:pPr>
        </w:p>
      </w:tc>
    </w:tr>
  </w:tbl>
  <w:p w14:paraId="75B060C1" w14:textId="7DDB8A7C" w:rsidR="00F61987" w:rsidRDefault="00F619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982AF57" w14:paraId="019C4D7F" w14:textId="77777777" w:rsidTr="6982AF57">
      <w:tc>
        <w:tcPr>
          <w:tcW w:w="3210" w:type="dxa"/>
        </w:tcPr>
        <w:p w14:paraId="1223E9A2" w14:textId="69774CF5" w:rsidR="6982AF57" w:rsidRDefault="6982AF57" w:rsidP="6982AF57">
          <w:pPr>
            <w:pStyle w:val="Header"/>
            <w:ind w:left="-115"/>
            <w:rPr>
              <w:bCs/>
              <w:szCs w:val="18"/>
            </w:rPr>
          </w:pPr>
        </w:p>
      </w:tc>
      <w:tc>
        <w:tcPr>
          <w:tcW w:w="3210" w:type="dxa"/>
        </w:tcPr>
        <w:p w14:paraId="36E3EDFA" w14:textId="7F8D82D7" w:rsidR="6982AF57" w:rsidRDefault="6982AF57" w:rsidP="6982AF57">
          <w:pPr>
            <w:pStyle w:val="Header"/>
            <w:jc w:val="center"/>
            <w:rPr>
              <w:bCs/>
              <w:szCs w:val="18"/>
            </w:rPr>
          </w:pPr>
        </w:p>
      </w:tc>
      <w:tc>
        <w:tcPr>
          <w:tcW w:w="3210" w:type="dxa"/>
        </w:tcPr>
        <w:p w14:paraId="2E90FF4F" w14:textId="5CD8D308" w:rsidR="6982AF57" w:rsidRDefault="6982AF57" w:rsidP="6982AF57">
          <w:pPr>
            <w:pStyle w:val="Header"/>
            <w:ind w:right="-115"/>
            <w:jc w:val="right"/>
            <w:rPr>
              <w:bCs/>
              <w:szCs w:val="18"/>
            </w:rPr>
          </w:pPr>
        </w:p>
      </w:tc>
    </w:tr>
  </w:tbl>
  <w:p w14:paraId="44C365E3" w14:textId="6C5C6D83" w:rsidR="004F705B" w:rsidRDefault="004F7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B0A"/>
    <w:multiLevelType w:val="hybridMultilevel"/>
    <w:tmpl w:val="F9E67C62"/>
    <w:lvl w:ilvl="0" w:tplc="C39A60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3"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4"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284D5D6C"/>
    <w:multiLevelType w:val="hybridMultilevel"/>
    <w:tmpl w:val="A1F26A82"/>
    <w:lvl w:ilvl="0" w:tplc="5784DEDC">
      <w:start w:val="1"/>
      <w:numFmt w:val="bullet"/>
      <w:lvlText w:val="•"/>
      <w:lvlJc w:val="left"/>
      <w:pPr>
        <w:tabs>
          <w:tab w:val="num" w:pos="720"/>
        </w:tabs>
        <w:ind w:left="720" w:hanging="360"/>
      </w:pPr>
      <w:rPr>
        <w:rFonts w:ascii="Arial" w:hAnsi="Arial" w:hint="default"/>
      </w:rPr>
    </w:lvl>
    <w:lvl w:ilvl="1" w:tplc="3C24A0E8">
      <w:start w:val="1"/>
      <w:numFmt w:val="bullet"/>
      <w:lvlText w:val="•"/>
      <w:lvlJc w:val="left"/>
      <w:pPr>
        <w:tabs>
          <w:tab w:val="num" w:pos="1440"/>
        </w:tabs>
        <w:ind w:left="1440" w:hanging="360"/>
      </w:pPr>
      <w:rPr>
        <w:rFonts w:ascii="Arial" w:hAnsi="Arial" w:hint="default"/>
      </w:rPr>
    </w:lvl>
    <w:lvl w:ilvl="2" w:tplc="5B901444" w:tentative="1">
      <w:start w:val="1"/>
      <w:numFmt w:val="bullet"/>
      <w:lvlText w:val="•"/>
      <w:lvlJc w:val="left"/>
      <w:pPr>
        <w:tabs>
          <w:tab w:val="num" w:pos="2160"/>
        </w:tabs>
        <w:ind w:left="2160" w:hanging="360"/>
      </w:pPr>
      <w:rPr>
        <w:rFonts w:ascii="Arial" w:hAnsi="Arial" w:hint="default"/>
      </w:rPr>
    </w:lvl>
    <w:lvl w:ilvl="3" w:tplc="F286C0EA" w:tentative="1">
      <w:start w:val="1"/>
      <w:numFmt w:val="bullet"/>
      <w:lvlText w:val="•"/>
      <w:lvlJc w:val="left"/>
      <w:pPr>
        <w:tabs>
          <w:tab w:val="num" w:pos="2880"/>
        </w:tabs>
        <w:ind w:left="2880" w:hanging="360"/>
      </w:pPr>
      <w:rPr>
        <w:rFonts w:ascii="Arial" w:hAnsi="Arial" w:hint="default"/>
      </w:rPr>
    </w:lvl>
    <w:lvl w:ilvl="4" w:tplc="630C3BF8" w:tentative="1">
      <w:start w:val="1"/>
      <w:numFmt w:val="bullet"/>
      <w:lvlText w:val="•"/>
      <w:lvlJc w:val="left"/>
      <w:pPr>
        <w:tabs>
          <w:tab w:val="num" w:pos="3600"/>
        </w:tabs>
        <w:ind w:left="3600" w:hanging="360"/>
      </w:pPr>
      <w:rPr>
        <w:rFonts w:ascii="Arial" w:hAnsi="Arial" w:hint="default"/>
      </w:rPr>
    </w:lvl>
    <w:lvl w:ilvl="5" w:tplc="FD822440" w:tentative="1">
      <w:start w:val="1"/>
      <w:numFmt w:val="bullet"/>
      <w:lvlText w:val="•"/>
      <w:lvlJc w:val="left"/>
      <w:pPr>
        <w:tabs>
          <w:tab w:val="num" w:pos="4320"/>
        </w:tabs>
        <w:ind w:left="4320" w:hanging="360"/>
      </w:pPr>
      <w:rPr>
        <w:rFonts w:ascii="Arial" w:hAnsi="Arial" w:hint="default"/>
      </w:rPr>
    </w:lvl>
    <w:lvl w:ilvl="6" w:tplc="0C50A62E" w:tentative="1">
      <w:start w:val="1"/>
      <w:numFmt w:val="bullet"/>
      <w:lvlText w:val="•"/>
      <w:lvlJc w:val="left"/>
      <w:pPr>
        <w:tabs>
          <w:tab w:val="num" w:pos="5040"/>
        </w:tabs>
        <w:ind w:left="5040" w:hanging="360"/>
      </w:pPr>
      <w:rPr>
        <w:rFonts w:ascii="Arial" w:hAnsi="Arial" w:hint="default"/>
      </w:rPr>
    </w:lvl>
    <w:lvl w:ilvl="7" w:tplc="D0200EE4" w:tentative="1">
      <w:start w:val="1"/>
      <w:numFmt w:val="bullet"/>
      <w:lvlText w:val="•"/>
      <w:lvlJc w:val="left"/>
      <w:pPr>
        <w:tabs>
          <w:tab w:val="num" w:pos="5760"/>
        </w:tabs>
        <w:ind w:left="5760" w:hanging="360"/>
      </w:pPr>
      <w:rPr>
        <w:rFonts w:ascii="Arial" w:hAnsi="Arial" w:hint="default"/>
      </w:rPr>
    </w:lvl>
    <w:lvl w:ilvl="8" w:tplc="9C24B8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8064F3"/>
    <w:multiLevelType w:val="hybridMultilevel"/>
    <w:tmpl w:val="23DE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DE140"/>
    <w:multiLevelType w:val="hybridMultilevel"/>
    <w:tmpl w:val="FFFFFFFF"/>
    <w:lvl w:ilvl="0" w:tplc="1CA64E54">
      <w:start w:val="1"/>
      <w:numFmt w:val="bullet"/>
      <w:lvlText w:val=""/>
      <w:lvlJc w:val="left"/>
      <w:pPr>
        <w:ind w:left="720" w:hanging="360"/>
      </w:pPr>
      <w:rPr>
        <w:rFonts w:ascii="Symbol" w:hAnsi="Symbol" w:hint="default"/>
      </w:rPr>
    </w:lvl>
    <w:lvl w:ilvl="1" w:tplc="3E78FA3C">
      <w:start w:val="1"/>
      <w:numFmt w:val="bullet"/>
      <w:lvlText w:val="o"/>
      <w:lvlJc w:val="left"/>
      <w:pPr>
        <w:ind w:left="1440" w:hanging="360"/>
      </w:pPr>
      <w:rPr>
        <w:rFonts w:ascii="Courier New" w:hAnsi="Courier New" w:hint="default"/>
      </w:rPr>
    </w:lvl>
    <w:lvl w:ilvl="2" w:tplc="6AFCA4D2">
      <w:start w:val="1"/>
      <w:numFmt w:val="bullet"/>
      <w:lvlText w:val=""/>
      <w:lvlJc w:val="left"/>
      <w:pPr>
        <w:ind w:left="2160" w:hanging="360"/>
      </w:pPr>
      <w:rPr>
        <w:rFonts w:ascii="Wingdings" w:hAnsi="Wingdings" w:hint="default"/>
      </w:rPr>
    </w:lvl>
    <w:lvl w:ilvl="3" w:tplc="9B4ACB5E">
      <w:start w:val="1"/>
      <w:numFmt w:val="bullet"/>
      <w:lvlText w:val=""/>
      <w:lvlJc w:val="left"/>
      <w:pPr>
        <w:ind w:left="2880" w:hanging="360"/>
      </w:pPr>
      <w:rPr>
        <w:rFonts w:ascii="Symbol" w:hAnsi="Symbol" w:hint="default"/>
      </w:rPr>
    </w:lvl>
    <w:lvl w:ilvl="4" w:tplc="5D6C961C">
      <w:start w:val="1"/>
      <w:numFmt w:val="bullet"/>
      <w:lvlText w:val="o"/>
      <w:lvlJc w:val="left"/>
      <w:pPr>
        <w:ind w:left="3600" w:hanging="360"/>
      </w:pPr>
      <w:rPr>
        <w:rFonts w:ascii="Courier New" w:hAnsi="Courier New" w:hint="default"/>
      </w:rPr>
    </w:lvl>
    <w:lvl w:ilvl="5" w:tplc="16F6412C">
      <w:start w:val="1"/>
      <w:numFmt w:val="bullet"/>
      <w:lvlText w:val=""/>
      <w:lvlJc w:val="left"/>
      <w:pPr>
        <w:ind w:left="4320" w:hanging="360"/>
      </w:pPr>
      <w:rPr>
        <w:rFonts w:ascii="Wingdings" w:hAnsi="Wingdings" w:hint="default"/>
      </w:rPr>
    </w:lvl>
    <w:lvl w:ilvl="6" w:tplc="7F2C62E6">
      <w:start w:val="1"/>
      <w:numFmt w:val="bullet"/>
      <w:lvlText w:val=""/>
      <w:lvlJc w:val="left"/>
      <w:pPr>
        <w:ind w:left="5040" w:hanging="360"/>
      </w:pPr>
      <w:rPr>
        <w:rFonts w:ascii="Symbol" w:hAnsi="Symbol" w:hint="default"/>
      </w:rPr>
    </w:lvl>
    <w:lvl w:ilvl="7" w:tplc="65DAC2EA">
      <w:start w:val="1"/>
      <w:numFmt w:val="bullet"/>
      <w:lvlText w:val="o"/>
      <w:lvlJc w:val="left"/>
      <w:pPr>
        <w:ind w:left="5760" w:hanging="360"/>
      </w:pPr>
      <w:rPr>
        <w:rFonts w:ascii="Courier New" w:hAnsi="Courier New" w:hint="default"/>
      </w:rPr>
    </w:lvl>
    <w:lvl w:ilvl="8" w:tplc="1B0AA8DC">
      <w:start w:val="1"/>
      <w:numFmt w:val="bullet"/>
      <w:lvlText w:val=""/>
      <w:lvlJc w:val="left"/>
      <w:pPr>
        <w:ind w:left="6480" w:hanging="360"/>
      </w:pPr>
      <w:rPr>
        <w:rFonts w:ascii="Wingdings" w:hAnsi="Wingdings" w:hint="default"/>
      </w:rPr>
    </w:lvl>
  </w:abstractNum>
  <w:abstractNum w:abstractNumId="9" w15:restartNumberingAfterBreak="0">
    <w:nsid w:val="36AE68CA"/>
    <w:multiLevelType w:val="multilevel"/>
    <w:tmpl w:val="B1520F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B1733A"/>
    <w:multiLevelType w:val="multilevel"/>
    <w:tmpl w:val="47087E8E"/>
    <w:numStyleLink w:val="Numberedlist-075"/>
  </w:abstractNum>
  <w:abstractNum w:abstractNumId="11" w15:restartNumberingAfterBreak="0">
    <w:nsid w:val="52001B62"/>
    <w:multiLevelType w:val="hybridMultilevel"/>
    <w:tmpl w:val="735A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B254B"/>
    <w:multiLevelType w:val="hybridMultilevel"/>
    <w:tmpl w:val="E070C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91C42C0"/>
    <w:multiLevelType w:val="hybridMultilevel"/>
    <w:tmpl w:val="20DE2B00"/>
    <w:lvl w:ilvl="0" w:tplc="14E6037C">
      <w:start w:val="1"/>
      <w:numFmt w:val="bullet"/>
      <w:lvlText w:val="•"/>
      <w:lvlJc w:val="left"/>
      <w:pPr>
        <w:tabs>
          <w:tab w:val="num" w:pos="720"/>
        </w:tabs>
        <w:ind w:left="720" w:hanging="360"/>
      </w:pPr>
      <w:rPr>
        <w:rFonts w:ascii="Arial" w:hAnsi="Arial" w:hint="default"/>
      </w:rPr>
    </w:lvl>
    <w:lvl w:ilvl="1" w:tplc="2DA227EC" w:tentative="1">
      <w:start w:val="1"/>
      <w:numFmt w:val="bullet"/>
      <w:lvlText w:val="•"/>
      <w:lvlJc w:val="left"/>
      <w:pPr>
        <w:tabs>
          <w:tab w:val="num" w:pos="1440"/>
        </w:tabs>
        <w:ind w:left="1440" w:hanging="360"/>
      </w:pPr>
      <w:rPr>
        <w:rFonts w:ascii="Arial" w:hAnsi="Arial" w:hint="default"/>
      </w:rPr>
    </w:lvl>
    <w:lvl w:ilvl="2" w:tplc="CE587C32" w:tentative="1">
      <w:start w:val="1"/>
      <w:numFmt w:val="bullet"/>
      <w:lvlText w:val="•"/>
      <w:lvlJc w:val="left"/>
      <w:pPr>
        <w:tabs>
          <w:tab w:val="num" w:pos="2160"/>
        </w:tabs>
        <w:ind w:left="2160" w:hanging="360"/>
      </w:pPr>
      <w:rPr>
        <w:rFonts w:ascii="Arial" w:hAnsi="Arial" w:hint="default"/>
      </w:rPr>
    </w:lvl>
    <w:lvl w:ilvl="3" w:tplc="2F16C6FA" w:tentative="1">
      <w:start w:val="1"/>
      <w:numFmt w:val="bullet"/>
      <w:lvlText w:val="•"/>
      <w:lvlJc w:val="left"/>
      <w:pPr>
        <w:tabs>
          <w:tab w:val="num" w:pos="2880"/>
        </w:tabs>
        <w:ind w:left="2880" w:hanging="360"/>
      </w:pPr>
      <w:rPr>
        <w:rFonts w:ascii="Arial" w:hAnsi="Arial" w:hint="default"/>
      </w:rPr>
    </w:lvl>
    <w:lvl w:ilvl="4" w:tplc="042EDCAA" w:tentative="1">
      <w:start w:val="1"/>
      <w:numFmt w:val="bullet"/>
      <w:lvlText w:val="•"/>
      <w:lvlJc w:val="left"/>
      <w:pPr>
        <w:tabs>
          <w:tab w:val="num" w:pos="3600"/>
        </w:tabs>
        <w:ind w:left="3600" w:hanging="360"/>
      </w:pPr>
      <w:rPr>
        <w:rFonts w:ascii="Arial" w:hAnsi="Arial" w:hint="default"/>
      </w:rPr>
    </w:lvl>
    <w:lvl w:ilvl="5" w:tplc="0762A29E" w:tentative="1">
      <w:start w:val="1"/>
      <w:numFmt w:val="bullet"/>
      <w:lvlText w:val="•"/>
      <w:lvlJc w:val="left"/>
      <w:pPr>
        <w:tabs>
          <w:tab w:val="num" w:pos="4320"/>
        </w:tabs>
        <w:ind w:left="4320" w:hanging="360"/>
      </w:pPr>
      <w:rPr>
        <w:rFonts w:ascii="Arial" w:hAnsi="Arial" w:hint="default"/>
      </w:rPr>
    </w:lvl>
    <w:lvl w:ilvl="6" w:tplc="23A827FE" w:tentative="1">
      <w:start w:val="1"/>
      <w:numFmt w:val="bullet"/>
      <w:lvlText w:val="•"/>
      <w:lvlJc w:val="left"/>
      <w:pPr>
        <w:tabs>
          <w:tab w:val="num" w:pos="5040"/>
        </w:tabs>
        <w:ind w:left="5040" w:hanging="360"/>
      </w:pPr>
      <w:rPr>
        <w:rFonts w:ascii="Arial" w:hAnsi="Arial" w:hint="default"/>
      </w:rPr>
    </w:lvl>
    <w:lvl w:ilvl="7" w:tplc="C2CA37E4" w:tentative="1">
      <w:start w:val="1"/>
      <w:numFmt w:val="bullet"/>
      <w:lvlText w:val="•"/>
      <w:lvlJc w:val="left"/>
      <w:pPr>
        <w:tabs>
          <w:tab w:val="num" w:pos="5760"/>
        </w:tabs>
        <w:ind w:left="5760" w:hanging="360"/>
      </w:pPr>
      <w:rPr>
        <w:rFonts w:ascii="Arial" w:hAnsi="Arial" w:hint="default"/>
      </w:rPr>
    </w:lvl>
    <w:lvl w:ilvl="8" w:tplc="B3E621E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A52426"/>
    <w:multiLevelType w:val="hybridMultilevel"/>
    <w:tmpl w:val="F09A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645A2545"/>
    <w:multiLevelType w:val="hybridMultilevel"/>
    <w:tmpl w:val="05CE1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63D7B"/>
    <w:multiLevelType w:val="hybridMultilevel"/>
    <w:tmpl w:val="A1BE8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CE38CF"/>
    <w:multiLevelType w:val="hybridMultilevel"/>
    <w:tmpl w:val="51BAE730"/>
    <w:lvl w:ilvl="0" w:tplc="C39A60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94544A"/>
    <w:multiLevelType w:val="hybridMultilevel"/>
    <w:tmpl w:val="FFFFFFFF"/>
    <w:lvl w:ilvl="0" w:tplc="C9EC1F78">
      <w:start w:val="1"/>
      <w:numFmt w:val="bullet"/>
      <w:lvlText w:val=""/>
      <w:lvlJc w:val="left"/>
      <w:pPr>
        <w:ind w:left="720" w:hanging="360"/>
      </w:pPr>
      <w:rPr>
        <w:rFonts w:ascii="Symbol" w:hAnsi="Symbol" w:hint="default"/>
      </w:rPr>
    </w:lvl>
    <w:lvl w:ilvl="1" w:tplc="A542669A">
      <w:start w:val="1"/>
      <w:numFmt w:val="bullet"/>
      <w:lvlText w:val="o"/>
      <w:lvlJc w:val="left"/>
      <w:pPr>
        <w:ind w:left="1440" w:hanging="360"/>
      </w:pPr>
      <w:rPr>
        <w:rFonts w:ascii="Courier New" w:hAnsi="Courier New" w:hint="default"/>
      </w:rPr>
    </w:lvl>
    <w:lvl w:ilvl="2" w:tplc="AFA84B0C">
      <w:start w:val="1"/>
      <w:numFmt w:val="bullet"/>
      <w:lvlText w:val=""/>
      <w:lvlJc w:val="left"/>
      <w:pPr>
        <w:ind w:left="2160" w:hanging="360"/>
      </w:pPr>
      <w:rPr>
        <w:rFonts w:ascii="Wingdings" w:hAnsi="Wingdings" w:hint="default"/>
      </w:rPr>
    </w:lvl>
    <w:lvl w:ilvl="3" w:tplc="690ECACC">
      <w:start w:val="1"/>
      <w:numFmt w:val="bullet"/>
      <w:lvlText w:val=""/>
      <w:lvlJc w:val="left"/>
      <w:pPr>
        <w:ind w:left="2880" w:hanging="360"/>
      </w:pPr>
      <w:rPr>
        <w:rFonts w:ascii="Symbol" w:hAnsi="Symbol" w:hint="default"/>
      </w:rPr>
    </w:lvl>
    <w:lvl w:ilvl="4" w:tplc="85E6581E">
      <w:start w:val="1"/>
      <w:numFmt w:val="bullet"/>
      <w:lvlText w:val="o"/>
      <w:lvlJc w:val="left"/>
      <w:pPr>
        <w:ind w:left="3600" w:hanging="360"/>
      </w:pPr>
      <w:rPr>
        <w:rFonts w:ascii="Courier New" w:hAnsi="Courier New" w:hint="default"/>
      </w:rPr>
    </w:lvl>
    <w:lvl w:ilvl="5" w:tplc="F5706830">
      <w:start w:val="1"/>
      <w:numFmt w:val="bullet"/>
      <w:lvlText w:val=""/>
      <w:lvlJc w:val="left"/>
      <w:pPr>
        <w:ind w:left="4320" w:hanging="360"/>
      </w:pPr>
      <w:rPr>
        <w:rFonts w:ascii="Wingdings" w:hAnsi="Wingdings" w:hint="default"/>
      </w:rPr>
    </w:lvl>
    <w:lvl w:ilvl="6" w:tplc="8C6A6B64">
      <w:start w:val="1"/>
      <w:numFmt w:val="bullet"/>
      <w:lvlText w:val=""/>
      <w:lvlJc w:val="left"/>
      <w:pPr>
        <w:ind w:left="5040" w:hanging="360"/>
      </w:pPr>
      <w:rPr>
        <w:rFonts w:ascii="Symbol" w:hAnsi="Symbol" w:hint="default"/>
      </w:rPr>
    </w:lvl>
    <w:lvl w:ilvl="7" w:tplc="75CEDE96">
      <w:start w:val="1"/>
      <w:numFmt w:val="bullet"/>
      <w:lvlText w:val="o"/>
      <w:lvlJc w:val="left"/>
      <w:pPr>
        <w:ind w:left="5760" w:hanging="360"/>
      </w:pPr>
      <w:rPr>
        <w:rFonts w:ascii="Courier New" w:hAnsi="Courier New" w:hint="default"/>
      </w:rPr>
    </w:lvl>
    <w:lvl w:ilvl="8" w:tplc="AE1A9D66">
      <w:start w:val="1"/>
      <w:numFmt w:val="bullet"/>
      <w:lvlText w:val=""/>
      <w:lvlJc w:val="left"/>
      <w:pPr>
        <w:ind w:left="6480" w:hanging="360"/>
      </w:pPr>
      <w:rPr>
        <w:rFonts w:ascii="Wingdings" w:hAnsi="Wingdings" w:hint="default"/>
      </w:rPr>
    </w:lvl>
  </w:abstractNum>
  <w:abstractNum w:abstractNumId="21" w15:restartNumberingAfterBreak="0">
    <w:nsid w:val="6C595A9A"/>
    <w:multiLevelType w:val="hybridMultilevel"/>
    <w:tmpl w:val="1C2294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F39F0"/>
    <w:multiLevelType w:val="multilevel"/>
    <w:tmpl w:val="E6168FC4"/>
    <w:lvl w:ilvl="0">
      <w:start w:val="1"/>
      <w:numFmt w:val="decimal"/>
      <w:pStyle w:val="Heading1-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8A13DC"/>
    <w:multiLevelType w:val="multilevel"/>
    <w:tmpl w:val="7576AC10"/>
    <w:lvl w:ilvl="0">
      <w:start w:val="1"/>
      <w:numFmt w:val="decimal"/>
      <w:pStyle w:val="Bullet-numberedlist"/>
      <w:lvlText w:val="%1."/>
      <w:lvlJc w:val="left"/>
      <w:pPr>
        <w:tabs>
          <w:tab w:val="num" w:pos="425"/>
        </w:tabs>
        <w:ind w:left="425" w:hanging="425"/>
      </w:pPr>
      <w:rPr>
        <w:rFonts w:hint="default"/>
      </w:rPr>
    </w:lvl>
    <w:lvl w:ilvl="1">
      <w:start w:val="3"/>
      <w:numFmt w:val="decimal"/>
      <w:isLgl/>
      <w:lvlText w:val="%1.%2"/>
      <w:lvlJc w:val="left"/>
      <w:pPr>
        <w:ind w:left="480" w:hanging="480"/>
      </w:pPr>
      <w:rPr>
        <w:rFonts w:hint="default"/>
        <w:color w:val="auto"/>
        <w:u w:val="none"/>
      </w:rPr>
    </w:lvl>
    <w:lvl w:ilvl="2">
      <w:start w:val="1"/>
      <w:numFmt w:val="decimal"/>
      <w:isLgl/>
      <w:lvlText w:val="%1.%2.%3"/>
      <w:lvlJc w:val="left"/>
      <w:pPr>
        <w:ind w:left="720" w:hanging="720"/>
      </w:pPr>
      <w:rPr>
        <w:rFonts w:hint="default"/>
        <w:color w:val="auto"/>
        <w:u w:val="none"/>
      </w:rPr>
    </w:lvl>
    <w:lvl w:ilvl="3">
      <w:start w:val="1"/>
      <w:numFmt w:val="decimal"/>
      <w:isLgl/>
      <w:lvlText w:val="%1.%2.%3.%4"/>
      <w:lvlJc w:val="left"/>
      <w:pPr>
        <w:ind w:left="1080" w:hanging="1080"/>
      </w:pPr>
      <w:rPr>
        <w:rFonts w:hint="default"/>
        <w:color w:val="auto"/>
        <w:u w:val="none"/>
      </w:rPr>
    </w:lvl>
    <w:lvl w:ilvl="4">
      <w:start w:val="1"/>
      <w:numFmt w:val="decimal"/>
      <w:isLgl/>
      <w:lvlText w:val="%1.%2.%3.%4.%5"/>
      <w:lvlJc w:val="left"/>
      <w:pPr>
        <w:ind w:left="1080" w:hanging="1080"/>
      </w:pPr>
      <w:rPr>
        <w:rFonts w:hint="default"/>
        <w:color w:val="auto"/>
        <w:u w:val="none"/>
      </w:rPr>
    </w:lvl>
    <w:lvl w:ilvl="5">
      <w:start w:val="1"/>
      <w:numFmt w:val="decimal"/>
      <w:isLgl/>
      <w:lvlText w:val="%1.%2.%3.%4.%5.%6"/>
      <w:lvlJc w:val="left"/>
      <w:pPr>
        <w:ind w:left="1440" w:hanging="1440"/>
      </w:pPr>
      <w:rPr>
        <w:rFonts w:hint="default"/>
        <w:color w:val="auto"/>
        <w:u w:val="none"/>
      </w:rPr>
    </w:lvl>
    <w:lvl w:ilvl="6">
      <w:start w:val="1"/>
      <w:numFmt w:val="decimal"/>
      <w:isLgl/>
      <w:lvlText w:val="%1.%2.%3.%4.%5.%6.%7"/>
      <w:lvlJc w:val="left"/>
      <w:pPr>
        <w:ind w:left="1440" w:hanging="1440"/>
      </w:pPr>
      <w:rPr>
        <w:rFonts w:hint="default"/>
        <w:color w:val="auto"/>
        <w:u w:val="none"/>
      </w:rPr>
    </w:lvl>
    <w:lvl w:ilvl="7">
      <w:start w:val="1"/>
      <w:numFmt w:val="decimal"/>
      <w:isLgl/>
      <w:lvlText w:val="%1.%2.%3.%4.%5.%6.%7.%8"/>
      <w:lvlJc w:val="left"/>
      <w:pPr>
        <w:ind w:left="1800" w:hanging="1800"/>
      </w:pPr>
      <w:rPr>
        <w:rFonts w:hint="default"/>
        <w:color w:val="auto"/>
        <w:u w:val="none"/>
      </w:rPr>
    </w:lvl>
    <w:lvl w:ilvl="8">
      <w:start w:val="1"/>
      <w:numFmt w:val="decimal"/>
      <w:isLgl/>
      <w:lvlText w:val="%1.%2.%3.%4.%5.%6.%7.%8.%9"/>
      <w:lvlJc w:val="left"/>
      <w:pPr>
        <w:ind w:left="1800" w:hanging="1800"/>
      </w:pPr>
      <w:rPr>
        <w:rFonts w:hint="default"/>
        <w:color w:val="auto"/>
        <w:u w:val="none"/>
      </w:rPr>
    </w:lvl>
  </w:abstractNum>
  <w:num w:numId="1">
    <w:abstractNumId w:val="2"/>
  </w:num>
  <w:num w:numId="2">
    <w:abstractNumId w:val="3"/>
  </w:num>
  <w:num w:numId="3">
    <w:abstractNumId w:val="5"/>
  </w:num>
  <w:num w:numId="4">
    <w:abstractNumId w:val="22"/>
  </w:num>
  <w:num w:numId="5">
    <w:abstractNumId w:val="16"/>
  </w:num>
  <w:num w:numId="6">
    <w:abstractNumId w:val="13"/>
  </w:num>
  <w:num w:numId="7">
    <w:abstractNumId w:val="5"/>
    <w:lvlOverride w:ilvl="0">
      <w:startOverride w:val="1"/>
    </w:lvlOverride>
  </w:num>
  <w:num w:numId="8">
    <w:abstractNumId w:val="4"/>
  </w:num>
  <w:num w:numId="9">
    <w:abstractNumId w:val="10"/>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3"/>
    <w:lvlOverride w:ilvl="0">
      <w:startOverride w:val="1"/>
    </w:lvlOverride>
  </w:num>
  <w:num w:numId="18">
    <w:abstractNumId w:val="23"/>
    <w:lvlOverride w:ilvl="0">
      <w:startOverride w:val="1"/>
    </w:lvlOverride>
  </w:num>
  <w:num w:numId="19">
    <w:abstractNumId w:val="23"/>
    <w:lvlOverride w:ilvl="0">
      <w:startOverride w:val="1"/>
    </w:lvlOverride>
  </w:num>
  <w:num w:numId="20">
    <w:abstractNumId w:val="23"/>
    <w:lvlOverride w:ilvl="0">
      <w:startOverride w:val="1"/>
    </w:lvlOverride>
  </w:num>
  <w:num w:numId="21">
    <w:abstractNumId w:val="23"/>
    <w:lvlOverride w:ilvl="0">
      <w:startOverride w:val="1"/>
    </w:lvlOverride>
  </w:num>
  <w:num w:numId="22">
    <w:abstractNumId w:val="23"/>
    <w:lvlOverride w:ilvl="0">
      <w:startOverride w:val="1"/>
    </w:lvlOverride>
  </w:num>
  <w:num w:numId="23">
    <w:abstractNumId w:val="11"/>
  </w:num>
  <w:num w:numId="24">
    <w:abstractNumId w:val="17"/>
  </w:num>
  <w:num w:numId="25">
    <w:abstractNumId w:val="12"/>
  </w:num>
  <w:num w:numId="26">
    <w:abstractNumId w:val="23"/>
    <w:lvlOverride w:ilvl="0">
      <w:startOverride w:val="1"/>
    </w:lvlOverride>
  </w:num>
  <w:num w:numId="27">
    <w:abstractNumId w:val="9"/>
  </w:num>
  <w:num w:numId="28">
    <w:abstractNumId w:val="0"/>
  </w:num>
  <w:num w:numId="29">
    <w:abstractNumId w:val="21"/>
  </w:num>
  <w:num w:numId="30">
    <w:abstractNumId w:val="18"/>
  </w:num>
  <w:num w:numId="31">
    <w:abstractNumId w:val="14"/>
  </w:num>
  <w:num w:numId="32">
    <w:abstractNumId w:val="19"/>
  </w:num>
  <w:num w:numId="33">
    <w:abstractNumId w:val="6"/>
  </w:num>
  <w:num w:numId="34">
    <w:abstractNumId w:val="8"/>
  </w:num>
  <w:num w:numId="35">
    <w:abstractNumId w:val="20"/>
  </w:num>
  <w:num w:numId="36">
    <w:abstractNumId w:val="23"/>
    <w:lvlOverride w:ilvl="0">
      <w:startOverride w:val="1"/>
    </w:lvlOverride>
  </w:num>
  <w:num w:numId="37">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edit="trackedChanges" w:formatting="1" w:enforcement="0"/>
  <w:defaultTabStop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7FF"/>
    <w:rsid w:val="00000559"/>
    <w:rsid w:val="000011AC"/>
    <w:rsid w:val="000028A3"/>
    <w:rsid w:val="00002918"/>
    <w:rsid w:val="00002D1F"/>
    <w:rsid w:val="00002FCC"/>
    <w:rsid w:val="00003457"/>
    <w:rsid w:val="000034A2"/>
    <w:rsid w:val="00003B9B"/>
    <w:rsid w:val="0000436F"/>
    <w:rsid w:val="00004623"/>
    <w:rsid w:val="0000502C"/>
    <w:rsid w:val="0000515B"/>
    <w:rsid w:val="0000633E"/>
    <w:rsid w:val="00006F03"/>
    <w:rsid w:val="00007A48"/>
    <w:rsid w:val="0001066E"/>
    <w:rsid w:val="00010704"/>
    <w:rsid w:val="00010C68"/>
    <w:rsid w:val="0001137B"/>
    <w:rsid w:val="0001170C"/>
    <w:rsid w:val="00012205"/>
    <w:rsid w:val="000126C8"/>
    <w:rsid w:val="000127C8"/>
    <w:rsid w:val="00012815"/>
    <w:rsid w:val="00014B7F"/>
    <w:rsid w:val="00015243"/>
    <w:rsid w:val="00015B28"/>
    <w:rsid w:val="00015CEE"/>
    <w:rsid w:val="00016D59"/>
    <w:rsid w:val="00017C81"/>
    <w:rsid w:val="00020061"/>
    <w:rsid w:val="00020573"/>
    <w:rsid w:val="0002098B"/>
    <w:rsid w:val="00020D9C"/>
    <w:rsid w:val="0002140C"/>
    <w:rsid w:val="00021941"/>
    <w:rsid w:val="00021D48"/>
    <w:rsid w:val="000221CB"/>
    <w:rsid w:val="00022ADA"/>
    <w:rsid w:val="00022C9D"/>
    <w:rsid w:val="00022E48"/>
    <w:rsid w:val="00023158"/>
    <w:rsid w:val="0002362D"/>
    <w:rsid w:val="00023C41"/>
    <w:rsid w:val="000248FE"/>
    <w:rsid w:val="00025469"/>
    <w:rsid w:val="00025750"/>
    <w:rsid w:val="0002641C"/>
    <w:rsid w:val="00026A3D"/>
    <w:rsid w:val="00026C1B"/>
    <w:rsid w:val="00026C97"/>
    <w:rsid w:val="00026CCD"/>
    <w:rsid w:val="00027148"/>
    <w:rsid w:val="000271EA"/>
    <w:rsid w:val="0002724C"/>
    <w:rsid w:val="00027B3D"/>
    <w:rsid w:val="00027DE7"/>
    <w:rsid w:val="00027E6E"/>
    <w:rsid w:val="00030CA5"/>
    <w:rsid w:val="00031054"/>
    <w:rsid w:val="00032295"/>
    <w:rsid w:val="00032A2E"/>
    <w:rsid w:val="0003409D"/>
    <w:rsid w:val="00034435"/>
    <w:rsid w:val="0003458C"/>
    <w:rsid w:val="000348CE"/>
    <w:rsid w:val="00034A4A"/>
    <w:rsid w:val="00035040"/>
    <w:rsid w:val="000352DE"/>
    <w:rsid w:val="0003615E"/>
    <w:rsid w:val="00036DF5"/>
    <w:rsid w:val="00037244"/>
    <w:rsid w:val="0003766D"/>
    <w:rsid w:val="00037A90"/>
    <w:rsid w:val="00037DCB"/>
    <w:rsid w:val="000406FA"/>
    <w:rsid w:val="00041091"/>
    <w:rsid w:val="00041471"/>
    <w:rsid w:val="00041E06"/>
    <w:rsid w:val="00042537"/>
    <w:rsid w:val="0004299E"/>
    <w:rsid w:val="00042B11"/>
    <w:rsid w:val="00042BE8"/>
    <w:rsid w:val="00043008"/>
    <w:rsid w:val="000431A0"/>
    <w:rsid w:val="00043673"/>
    <w:rsid w:val="000436F9"/>
    <w:rsid w:val="000439C7"/>
    <w:rsid w:val="00043C93"/>
    <w:rsid w:val="00043DD6"/>
    <w:rsid w:val="00043F86"/>
    <w:rsid w:val="0004454A"/>
    <w:rsid w:val="00045523"/>
    <w:rsid w:val="00046A42"/>
    <w:rsid w:val="00047478"/>
    <w:rsid w:val="000474D2"/>
    <w:rsid w:val="00050918"/>
    <w:rsid w:val="00050C40"/>
    <w:rsid w:val="000510F8"/>
    <w:rsid w:val="00051CFF"/>
    <w:rsid w:val="00052025"/>
    <w:rsid w:val="00052C3D"/>
    <w:rsid w:val="000536BD"/>
    <w:rsid w:val="000538FB"/>
    <w:rsid w:val="000539EB"/>
    <w:rsid w:val="00053C52"/>
    <w:rsid w:val="00053CB3"/>
    <w:rsid w:val="0005477E"/>
    <w:rsid w:val="00054FA5"/>
    <w:rsid w:val="000552C1"/>
    <w:rsid w:val="00055DD6"/>
    <w:rsid w:val="00056D78"/>
    <w:rsid w:val="00056E4E"/>
    <w:rsid w:val="00057153"/>
    <w:rsid w:val="00057616"/>
    <w:rsid w:val="0006093E"/>
    <w:rsid w:val="00061CE8"/>
    <w:rsid w:val="000629D2"/>
    <w:rsid w:val="00062DB3"/>
    <w:rsid w:val="00063CD4"/>
    <w:rsid w:val="0006439B"/>
    <w:rsid w:val="00064CD8"/>
    <w:rsid w:val="00065FF5"/>
    <w:rsid w:val="00066A7A"/>
    <w:rsid w:val="00066EDB"/>
    <w:rsid w:val="00066FC8"/>
    <w:rsid w:val="00067140"/>
    <w:rsid w:val="000678F2"/>
    <w:rsid w:val="00067BFB"/>
    <w:rsid w:val="00070198"/>
    <w:rsid w:val="00070575"/>
    <w:rsid w:val="00070625"/>
    <w:rsid w:val="0007077C"/>
    <w:rsid w:val="00070D36"/>
    <w:rsid w:val="000714B7"/>
    <w:rsid w:val="00071839"/>
    <w:rsid w:val="00071AA3"/>
    <w:rsid w:val="00071C6D"/>
    <w:rsid w:val="0007209D"/>
    <w:rsid w:val="00072676"/>
    <w:rsid w:val="000727FE"/>
    <w:rsid w:val="00073335"/>
    <w:rsid w:val="00073533"/>
    <w:rsid w:val="000738C1"/>
    <w:rsid w:val="00073AED"/>
    <w:rsid w:val="00074318"/>
    <w:rsid w:val="000746D8"/>
    <w:rsid w:val="00075061"/>
    <w:rsid w:val="00075198"/>
    <w:rsid w:val="00075F33"/>
    <w:rsid w:val="0007668B"/>
    <w:rsid w:val="0007765B"/>
    <w:rsid w:val="00077BCE"/>
    <w:rsid w:val="00077F80"/>
    <w:rsid w:val="00080092"/>
    <w:rsid w:val="000807E5"/>
    <w:rsid w:val="00080B4F"/>
    <w:rsid w:val="00080BF2"/>
    <w:rsid w:val="00080FE5"/>
    <w:rsid w:val="00082208"/>
    <w:rsid w:val="000827C2"/>
    <w:rsid w:val="00082F58"/>
    <w:rsid w:val="0008324A"/>
    <w:rsid w:val="0008385D"/>
    <w:rsid w:val="000845D7"/>
    <w:rsid w:val="000847CD"/>
    <w:rsid w:val="0008489A"/>
    <w:rsid w:val="00085586"/>
    <w:rsid w:val="00085FC6"/>
    <w:rsid w:val="00086F7A"/>
    <w:rsid w:val="0008730D"/>
    <w:rsid w:val="000877C0"/>
    <w:rsid w:val="00087B07"/>
    <w:rsid w:val="00087E7C"/>
    <w:rsid w:val="00091705"/>
    <w:rsid w:val="0009194A"/>
    <w:rsid w:val="0009257A"/>
    <w:rsid w:val="000925F6"/>
    <w:rsid w:val="00093E0E"/>
    <w:rsid w:val="00093E63"/>
    <w:rsid w:val="00095D7E"/>
    <w:rsid w:val="0009615D"/>
    <w:rsid w:val="00096ADF"/>
    <w:rsid w:val="00096DC9"/>
    <w:rsid w:val="00096E66"/>
    <w:rsid w:val="00096F1A"/>
    <w:rsid w:val="000976E8"/>
    <w:rsid w:val="000A0064"/>
    <w:rsid w:val="000A0449"/>
    <w:rsid w:val="000A0774"/>
    <w:rsid w:val="000A0815"/>
    <w:rsid w:val="000A0C73"/>
    <w:rsid w:val="000A0CF1"/>
    <w:rsid w:val="000A0F11"/>
    <w:rsid w:val="000A10EF"/>
    <w:rsid w:val="000A1BA5"/>
    <w:rsid w:val="000A231C"/>
    <w:rsid w:val="000A2C7D"/>
    <w:rsid w:val="000A3E2C"/>
    <w:rsid w:val="000A3EAD"/>
    <w:rsid w:val="000A3F90"/>
    <w:rsid w:val="000A4877"/>
    <w:rsid w:val="000A498D"/>
    <w:rsid w:val="000A4E55"/>
    <w:rsid w:val="000A4E78"/>
    <w:rsid w:val="000A5850"/>
    <w:rsid w:val="000A783C"/>
    <w:rsid w:val="000A7E41"/>
    <w:rsid w:val="000B048B"/>
    <w:rsid w:val="000B0CB6"/>
    <w:rsid w:val="000B118E"/>
    <w:rsid w:val="000B159B"/>
    <w:rsid w:val="000B183B"/>
    <w:rsid w:val="000B2434"/>
    <w:rsid w:val="000B2F28"/>
    <w:rsid w:val="000B3229"/>
    <w:rsid w:val="000B3652"/>
    <w:rsid w:val="000B378F"/>
    <w:rsid w:val="000B3E5B"/>
    <w:rsid w:val="000B44ED"/>
    <w:rsid w:val="000B4BD1"/>
    <w:rsid w:val="000B5DD1"/>
    <w:rsid w:val="000B6509"/>
    <w:rsid w:val="000B71E4"/>
    <w:rsid w:val="000B7483"/>
    <w:rsid w:val="000B77D2"/>
    <w:rsid w:val="000B7BAA"/>
    <w:rsid w:val="000C025D"/>
    <w:rsid w:val="000C0E1C"/>
    <w:rsid w:val="000C13B9"/>
    <w:rsid w:val="000C1974"/>
    <w:rsid w:val="000C28B7"/>
    <w:rsid w:val="000C3BE4"/>
    <w:rsid w:val="000C50F6"/>
    <w:rsid w:val="000C5BCC"/>
    <w:rsid w:val="000C6069"/>
    <w:rsid w:val="000C6659"/>
    <w:rsid w:val="000C7094"/>
    <w:rsid w:val="000C7BC1"/>
    <w:rsid w:val="000C7D75"/>
    <w:rsid w:val="000D03EB"/>
    <w:rsid w:val="000D2033"/>
    <w:rsid w:val="000D2475"/>
    <w:rsid w:val="000D28C0"/>
    <w:rsid w:val="000D36B6"/>
    <w:rsid w:val="000D3CC2"/>
    <w:rsid w:val="000D3DBC"/>
    <w:rsid w:val="000D3F4B"/>
    <w:rsid w:val="000D4A4F"/>
    <w:rsid w:val="000D4BC2"/>
    <w:rsid w:val="000D4F84"/>
    <w:rsid w:val="000D4FF7"/>
    <w:rsid w:val="000D5AF5"/>
    <w:rsid w:val="000D67DF"/>
    <w:rsid w:val="000D6ABF"/>
    <w:rsid w:val="000D6FC7"/>
    <w:rsid w:val="000E00EE"/>
    <w:rsid w:val="000E1159"/>
    <w:rsid w:val="000E1294"/>
    <w:rsid w:val="000E1444"/>
    <w:rsid w:val="000E26FF"/>
    <w:rsid w:val="000E28B4"/>
    <w:rsid w:val="000E2CA8"/>
    <w:rsid w:val="000E434A"/>
    <w:rsid w:val="000E43CB"/>
    <w:rsid w:val="000E4590"/>
    <w:rsid w:val="000E4A1D"/>
    <w:rsid w:val="000E5FB8"/>
    <w:rsid w:val="000E6439"/>
    <w:rsid w:val="000E682C"/>
    <w:rsid w:val="000E723D"/>
    <w:rsid w:val="000E74A5"/>
    <w:rsid w:val="000E7988"/>
    <w:rsid w:val="000E7D50"/>
    <w:rsid w:val="000E7FAD"/>
    <w:rsid w:val="000F0271"/>
    <w:rsid w:val="000F08FF"/>
    <w:rsid w:val="000F14DB"/>
    <w:rsid w:val="000F1AE6"/>
    <w:rsid w:val="000F2192"/>
    <w:rsid w:val="000F2304"/>
    <w:rsid w:val="000F290A"/>
    <w:rsid w:val="000F2E74"/>
    <w:rsid w:val="000F37A0"/>
    <w:rsid w:val="000F397E"/>
    <w:rsid w:val="000F3E7D"/>
    <w:rsid w:val="000F4A3B"/>
    <w:rsid w:val="000F4C9E"/>
    <w:rsid w:val="000F5ACB"/>
    <w:rsid w:val="000F613B"/>
    <w:rsid w:val="000F62DC"/>
    <w:rsid w:val="000F6C6A"/>
    <w:rsid w:val="000F7CCD"/>
    <w:rsid w:val="000F7F65"/>
    <w:rsid w:val="00100727"/>
    <w:rsid w:val="00101AB9"/>
    <w:rsid w:val="00101C2E"/>
    <w:rsid w:val="00101CA1"/>
    <w:rsid w:val="00102317"/>
    <w:rsid w:val="00102977"/>
    <w:rsid w:val="00102F86"/>
    <w:rsid w:val="00102FCF"/>
    <w:rsid w:val="00104C75"/>
    <w:rsid w:val="00105539"/>
    <w:rsid w:val="00105E09"/>
    <w:rsid w:val="00105E1A"/>
    <w:rsid w:val="00106E1C"/>
    <w:rsid w:val="00106EBD"/>
    <w:rsid w:val="00106FDC"/>
    <w:rsid w:val="00107A0D"/>
    <w:rsid w:val="00110E3F"/>
    <w:rsid w:val="0011184D"/>
    <w:rsid w:val="001119CB"/>
    <w:rsid w:val="00111EEB"/>
    <w:rsid w:val="00112457"/>
    <w:rsid w:val="00112588"/>
    <w:rsid w:val="00112C66"/>
    <w:rsid w:val="00112F03"/>
    <w:rsid w:val="0011423C"/>
    <w:rsid w:val="00116233"/>
    <w:rsid w:val="001163FB"/>
    <w:rsid w:val="00116942"/>
    <w:rsid w:val="00116D8D"/>
    <w:rsid w:val="00117167"/>
    <w:rsid w:val="00117502"/>
    <w:rsid w:val="0011767A"/>
    <w:rsid w:val="00120A0C"/>
    <w:rsid w:val="001228C3"/>
    <w:rsid w:val="00122ABF"/>
    <w:rsid w:val="00122BCB"/>
    <w:rsid w:val="00123308"/>
    <w:rsid w:val="001239A6"/>
    <w:rsid w:val="001239AF"/>
    <w:rsid w:val="00123A46"/>
    <w:rsid w:val="00123EF5"/>
    <w:rsid w:val="0012444F"/>
    <w:rsid w:val="00124B78"/>
    <w:rsid w:val="00124EC9"/>
    <w:rsid w:val="0012520B"/>
    <w:rsid w:val="00125829"/>
    <w:rsid w:val="00125E8D"/>
    <w:rsid w:val="0012628F"/>
    <w:rsid w:val="0012664E"/>
    <w:rsid w:val="001267B0"/>
    <w:rsid w:val="0012712A"/>
    <w:rsid w:val="00127F6D"/>
    <w:rsid w:val="001303E4"/>
    <w:rsid w:val="00130A21"/>
    <w:rsid w:val="00130AD7"/>
    <w:rsid w:val="00130B57"/>
    <w:rsid w:val="00131696"/>
    <w:rsid w:val="00131C27"/>
    <w:rsid w:val="00133003"/>
    <w:rsid w:val="00133EE4"/>
    <w:rsid w:val="00134404"/>
    <w:rsid w:val="0013495A"/>
    <w:rsid w:val="00134A5B"/>
    <w:rsid w:val="00134BE1"/>
    <w:rsid w:val="001352DB"/>
    <w:rsid w:val="00135490"/>
    <w:rsid w:val="00135C13"/>
    <w:rsid w:val="001360D0"/>
    <w:rsid w:val="001366BE"/>
    <w:rsid w:val="001368B2"/>
    <w:rsid w:val="001374EE"/>
    <w:rsid w:val="001402FF"/>
    <w:rsid w:val="00141926"/>
    <w:rsid w:val="00142289"/>
    <w:rsid w:val="0014256D"/>
    <w:rsid w:val="00142711"/>
    <w:rsid w:val="00142F21"/>
    <w:rsid w:val="00143214"/>
    <w:rsid w:val="001433DD"/>
    <w:rsid w:val="0014349F"/>
    <w:rsid w:val="00146249"/>
    <w:rsid w:val="00146AB6"/>
    <w:rsid w:val="00146BE4"/>
    <w:rsid w:val="00147587"/>
    <w:rsid w:val="00147735"/>
    <w:rsid w:val="001503FF"/>
    <w:rsid w:val="001509A4"/>
    <w:rsid w:val="00150B1C"/>
    <w:rsid w:val="0015104A"/>
    <w:rsid w:val="00151631"/>
    <w:rsid w:val="00152318"/>
    <w:rsid w:val="001523E9"/>
    <w:rsid w:val="001525C7"/>
    <w:rsid w:val="00152BC5"/>
    <w:rsid w:val="00153198"/>
    <w:rsid w:val="0015461C"/>
    <w:rsid w:val="00154E41"/>
    <w:rsid w:val="001556AD"/>
    <w:rsid w:val="00155BF8"/>
    <w:rsid w:val="00155C3E"/>
    <w:rsid w:val="00156240"/>
    <w:rsid w:val="00156AD7"/>
    <w:rsid w:val="001575D9"/>
    <w:rsid w:val="00157A21"/>
    <w:rsid w:val="00160389"/>
    <w:rsid w:val="00160C54"/>
    <w:rsid w:val="00160D16"/>
    <w:rsid w:val="001611AE"/>
    <w:rsid w:val="00161ACC"/>
    <w:rsid w:val="00161B54"/>
    <w:rsid w:val="00162F0F"/>
    <w:rsid w:val="001639DF"/>
    <w:rsid w:val="00163D10"/>
    <w:rsid w:val="00164442"/>
    <w:rsid w:val="00164837"/>
    <w:rsid w:val="00164931"/>
    <w:rsid w:val="00164C64"/>
    <w:rsid w:val="00165D3D"/>
    <w:rsid w:val="00165FBE"/>
    <w:rsid w:val="00167255"/>
    <w:rsid w:val="00167643"/>
    <w:rsid w:val="001708E3"/>
    <w:rsid w:val="001716F6"/>
    <w:rsid w:val="00172355"/>
    <w:rsid w:val="0017259A"/>
    <w:rsid w:val="001728ED"/>
    <w:rsid w:val="00172B96"/>
    <w:rsid w:val="001737E9"/>
    <w:rsid w:val="00174489"/>
    <w:rsid w:val="00174F32"/>
    <w:rsid w:val="00175CB0"/>
    <w:rsid w:val="00175D4F"/>
    <w:rsid w:val="00176576"/>
    <w:rsid w:val="001768E5"/>
    <w:rsid w:val="001774B4"/>
    <w:rsid w:val="00177530"/>
    <w:rsid w:val="00180B14"/>
    <w:rsid w:val="00181534"/>
    <w:rsid w:val="001816B0"/>
    <w:rsid w:val="00181A3B"/>
    <w:rsid w:val="00181B29"/>
    <w:rsid w:val="00181BFC"/>
    <w:rsid w:val="00182C10"/>
    <w:rsid w:val="001834F6"/>
    <w:rsid w:val="00184065"/>
    <w:rsid w:val="00184B3B"/>
    <w:rsid w:val="00184FAA"/>
    <w:rsid w:val="00185741"/>
    <w:rsid w:val="00185FE9"/>
    <w:rsid w:val="00186051"/>
    <w:rsid w:val="001863BF"/>
    <w:rsid w:val="00186530"/>
    <w:rsid w:val="001875CA"/>
    <w:rsid w:val="00187C4C"/>
    <w:rsid w:val="0019023D"/>
    <w:rsid w:val="001912DC"/>
    <w:rsid w:val="00191399"/>
    <w:rsid w:val="001918B0"/>
    <w:rsid w:val="00191EA3"/>
    <w:rsid w:val="00192435"/>
    <w:rsid w:val="001937B9"/>
    <w:rsid w:val="00193B1F"/>
    <w:rsid w:val="00194CA6"/>
    <w:rsid w:val="00195728"/>
    <w:rsid w:val="00195793"/>
    <w:rsid w:val="00196CDA"/>
    <w:rsid w:val="001978B3"/>
    <w:rsid w:val="001979E1"/>
    <w:rsid w:val="00197B7C"/>
    <w:rsid w:val="001A1839"/>
    <w:rsid w:val="001A1CAB"/>
    <w:rsid w:val="001A2C25"/>
    <w:rsid w:val="001A2C3B"/>
    <w:rsid w:val="001A4499"/>
    <w:rsid w:val="001A54F0"/>
    <w:rsid w:val="001A688E"/>
    <w:rsid w:val="001A6A3B"/>
    <w:rsid w:val="001A7175"/>
    <w:rsid w:val="001A7EFC"/>
    <w:rsid w:val="001B0287"/>
    <w:rsid w:val="001B0458"/>
    <w:rsid w:val="001B09E2"/>
    <w:rsid w:val="001B0D4C"/>
    <w:rsid w:val="001B161C"/>
    <w:rsid w:val="001B1C62"/>
    <w:rsid w:val="001B343D"/>
    <w:rsid w:val="001B35A1"/>
    <w:rsid w:val="001B36B4"/>
    <w:rsid w:val="001B4BD5"/>
    <w:rsid w:val="001B4DD0"/>
    <w:rsid w:val="001B54C9"/>
    <w:rsid w:val="001B566F"/>
    <w:rsid w:val="001B5844"/>
    <w:rsid w:val="001B670D"/>
    <w:rsid w:val="001B705E"/>
    <w:rsid w:val="001B769B"/>
    <w:rsid w:val="001B7D07"/>
    <w:rsid w:val="001B7EF1"/>
    <w:rsid w:val="001C1972"/>
    <w:rsid w:val="001C1E0A"/>
    <w:rsid w:val="001C1F8A"/>
    <w:rsid w:val="001C1FA8"/>
    <w:rsid w:val="001C2170"/>
    <w:rsid w:val="001C2672"/>
    <w:rsid w:val="001C2E08"/>
    <w:rsid w:val="001C394F"/>
    <w:rsid w:val="001C3FDD"/>
    <w:rsid w:val="001C4A8C"/>
    <w:rsid w:val="001C4BDA"/>
    <w:rsid w:val="001C5393"/>
    <w:rsid w:val="001C5941"/>
    <w:rsid w:val="001C5C86"/>
    <w:rsid w:val="001C69F3"/>
    <w:rsid w:val="001C709A"/>
    <w:rsid w:val="001C74FB"/>
    <w:rsid w:val="001C7827"/>
    <w:rsid w:val="001D016E"/>
    <w:rsid w:val="001D0180"/>
    <w:rsid w:val="001D0476"/>
    <w:rsid w:val="001D0AA4"/>
    <w:rsid w:val="001D11A1"/>
    <w:rsid w:val="001D1822"/>
    <w:rsid w:val="001D305D"/>
    <w:rsid w:val="001D31E4"/>
    <w:rsid w:val="001D421B"/>
    <w:rsid w:val="001D4A61"/>
    <w:rsid w:val="001D5E42"/>
    <w:rsid w:val="001D66F3"/>
    <w:rsid w:val="001D672E"/>
    <w:rsid w:val="001D6E4B"/>
    <w:rsid w:val="001E016E"/>
    <w:rsid w:val="001E0408"/>
    <w:rsid w:val="001E0465"/>
    <w:rsid w:val="001E12B4"/>
    <w:rsid w:val="001E1318"/>
    <w:rsid w:val="001E16E1"/>
    <w:rsid w:val="001E1700"/>
    <w:rsid w:val="001E2741"/>
    <w:rsid w:val="001E3152"/>
    <w:rsid w:val="001E3B04"/>
    <w:rsid w:val="001E6161"/>
    <w:rsid w:val="001E626D"/>
    <w:rsid w:val="001E6439"/>
    <w:rsid w:val="001E66B4"/>
    <w:rsid w:val="001F01F8"/>
    <w:rsid w:val="001F0322"/>
    <w:rsid w:val="001F042F"/>
    <w:rsid w:val="001F043E"/>
    <w:rsid w:val="001F06D6"/>
    <w:rsid w:val="001F21E3"/>
    <w:rsid w:val="001F35D5"/>
    <w:rsid w:val="001F36B8"/>
    <w:rsid w:val="001F3833"/>
    <w:rsid w:val="001F3871"/>
    <w:rsid w:val="001F392E"/>
    <w:rsid w:val="001F3960"/>
    <w:rsid w:val="001F3B3B"/>
    <w:rsid w:val="001F3C8B"/>
    <w:rsid w:val="001F4511"/>
    <w:rsid w:val="001F4778"/>
    <w:rsid w:val="001F4E2A"/>
    <w:rsid w:val="001F5091"/>
    <w:rsid w:val="001F5B48"/>
    <w:rsid w:val="001F6819"/>
    <w:rsid w:val="001F6948"/>
    <w:rsid w:val="0020018B"/>
    <w:rsid w:val="00201709"/>
    <w:rsid w:val="002017C5"/>
    <w:rsid w:val="00201F1D"/>
    <w:rsid w:val="00201FE9"/>
    <w:rsid w:val="002022B1"/>
    <w:rsid w:val="00202B86"/>
    <w:rsid w:val="0020414C"/>
    <w:rsid w:val="0020457E"/>
    <w:rsid w:val="002048A0"/>
    <w:rsid w:val="00205153"/>
    <w:rsid w:val="00205975"/>
    <w:rsid w:val="00206285"/>
    <w:rsid w:val="002067E2"/>
    <w:rsid w:val="00206AF9"/>
    <w:rsid w:val="00206C31"/>
    <w:rsid w:val="00206D5E"/>
    <w:rsid w:val="00206F71"/>
    <w:rsid w:val="0020744A"/>
    <w:rsid w:val="0020767A"/>
    <w:rsid w:val="00207C79"/>
    <w:rsid w:val="00210E4B"/>
    <w:rsid w:val="00211B9C"/>
    <w:rsid w:val="002121E1"/>
    <w:rsid w:val="00212BA1"/>
    <w:rsid w:val="00212F0D"/>
    <w:rsid w:val="002133AB"/>
    <w:rsid w:val="00213B1E"/>
    <w:rsid w:val="00214E24"/>
    <w:rsid w:val="002153D1"/>
    <w:rsid w:val="002164A1"/>
    <w:rsid w:val="00216879"/>
    <w:rsid w:val="00216AEE"/>
    <w:rsid w:val="002172C9"/>
    <w:rsid w:val="0021755C"/>
    <w:rsid w:val="00217A74"/>
    <w:rsid w:val="00222E10"/>
    <w:rsid w:val="002241F6"/>
    <w:rsid w:val="002242AE"/>
    <w:rsid w:val="00224553"/>
    <w:rsid w:val="00224CDB"/>
    <w:rsid w:val="00225002"/>
    <w:rsid w:val="002252CA"/>
    <w:rsid w:val="00225742"/>
    <w:rsid w:val="00225D83"/>
    <w:rsid w:val="00225E71"/>
    <w:rsid w:val="00226AB8"/>
    <w:rsid w:val="00226FBB"/>
    <w:rsid w:val="00227187"/>
    <w:rsid w:val="0022734D"/>
    <w:rsid w:val="00227C71"/>
    <w:rsid w:val="002306F9"/>
    <w:rsid w:val="00230CD2"/>
    <w:rsid w:val="00230FFA"/>
    <w:rsid w:val="0023187B"/>
    <w:rsid w:val="00234E23"/>
    <w:rsid w:val="00235B07"/>
    <w:rsid w:val="00235C5B"/>
    <w:rsid w:val="00236125"/>
    <w:rsid w:val="00236C96"/>
    <w:rsid w:val="0023790B"/>
    <w:rsid w:val="002417A9"/>
    <w:rsid w:val="0024187A"/>
    <w:rsid w:val="00241B70"/>
    <w:rsid w:val="00242243"/>
    <w:rsid w:val="0024266A"/>
    <w:rsid w:val="002426F3"/>
    <w:rsid w:val="00242B95"/>
    <w:rsid w:val="002432BF"/>
    <w:rsid w:val="00244128"/>
    <w:rsid w:val="00244859"/>
    <w:rsid w:val="00244DCA"/>
    <w:rsid w:val="00245F94"/>
    <w:rsid w:val="002463CB"/>
    <w:rsid w:val="00246E37"/>
    <w:rsid w:val="00247C48"/>
    <w:rsid w:val="002503EE"/>
    <w:rsid w:val="00250BB1"/>
    <w:rsid w:val="00251C7A"/>
    <w:rsid w:val="002522A5"/>
    <w:rsid w:val="002532BD"/>
    <w:rsid w:val="0025582F"/>
    <w:rsid w:val="002561B3"/>
    <w:rsid w:val="002567A2"/>
    <w:rsid w:val="002572E8"/>
    <w:rsid w:val="00257517"/>
    <w:rsid w:val="00257B0A"/>
    <w:rsid w:val="00257B21"/>
    <w:rsid w:val="00260008"/>
    <w:rsid w:val="00260AE9"/>
    <w:rsid w:val="00261378"/>
    <w:rsid w:val="00261946"/>
    <w:rsid w:val="00261A72"/>
    <w:rsid w:val="0026228D"/>
    <w:rsid w:val="00262711"/>
    <w:rsid w:val="00263B28"/>
    <w:rsid w:val="00264E34"/>
    <w:rsid w:val="002657B3"/>
    <w:rsid w:val="00265B6A"/>
    <w:rsid w:val="0026702A"/>
    <w:rsid w:val="002672D3"/>
    <w:rsid w:val="002673E2"/>
    <w:rsid w:val="00270497"/>
    <w:rsid w:val="00270A8A"/>
    <w:rsid w:val="0027103A"/>
    <w:rsid w:val="00272655"/>
    <w:rsid w:val="00272B33"/>
    <w:rsid w:val="00272DE5"/>
    <w:rsid w:val="00273DB5"/>
    <w:rsid w:val="0027434C"/>
    <w:rsid w:val="00274974"/>
    <w:rsid w:val="00274CA4"/>
    <w:rsid w:val="00275569"/>
    <w:rsid w:val="00275AC7"/>
    <w:rsid w:val="0027601C"/>
    <w:rsid w:val="0027606F"/>
    <w:rsid w:val="00276C6D"/>
    <w:rsid w:val="00276E41"/>
    <w:rsid w:val="002771FC"/>
    <w:rsid w:val="00280128"/>
    <w:rsid w:val="00280568"/>
    <w:rsid w:val="00282120"/>
    <w:rsid w:val="00283299"/>
    <w:rsid w:val="002833D7"/>
    <w:rsid w:val="0028380F"/>
    <w:rsid w:val="002840A2"/>
    <w:rsid w:val="0028411D"/>
    <w:rsid w:val="00284174"/>
    <w:rsid w:val="00285103"/>
    <w:rsid w:val="00285185"/>
    <w:rsid w:val="00285ABA"/>
    <w:rsid w:val="00286152"/>
    <w:rsid w:val="002879CC"/>
    <w:rsid w:val="00290BD9"/>
    <w:rsid w:val="00291034"/>
    <w:rsid w:val="00291843"/>
    <w:rsid w:val="0029185A"/>
    <w:rsid w:val="00291E08"/>
    <w:rsid w:val="00293A74"/>
    <w:rsid w:val="00293F68"/>
    <w:rsid w:val="00295832"/>
    <w:rsid w:val="00295B66"/>
    <w:rsid w:val="002962BA"/>
    <w:rsid w:val="00296A6D"/>
    <w:rsid w:val="002A03CE"/>
    <w:rsid w:val="002A06D7"/>
    <w:rsid w:val="002A12CB"/>
    <w:rsid w:val="002A1BD8"/>
    <w:rsid w:val="002A1E43"/>
    <w:rsid w:val="002A2065"/>
    <w:rsid w:val="002A2BAA"/>
    <w:rsid w:val="002A2EBC"/>
    <w:rsid w:val="002A2F96"/>
    <w:rsid w:val="002A3100"/>
    <w:rsid w:val="002A322C"/>
    <w:rsid w:val="002A35A4"/>
    <w:rsid w:val="002A39B5"/>
    <w:rsid w:val="002A3A41"/>
    <w:rsid w:val="002A72CF"/>
    <w:rsid w:val="002A764B"/>
    <w:rsid w:val="002A76AD"/>
    <w:rsid w:val="002B03CB"/>
    <w:rsid w:val="002B08A9"/>
    <w:rsid w:val="002B0BCA"/>
    <w:rsid w:val="002B18EC"/>
    <w:rsid w:val="002B29D0"/>
    <w:rsid w:val="002B3437"/>
    <w:rsid w:val="002B400F"/>
    <w:rsid w:val="002B4D2E"/>
    <w:rsid w:val="002B5154"/>
    <w:rsid w:val="002B60A8"/>
    <w:rsid w:val="002B60CC"/>
    <w:rsid w:val="002B635E"/>
    <w:rsid w:val="002B7570"/>
    <w:rsid w:val="002B7711"/>
    <w:rsid w:val="002B775E"/>
    <w:rsid w:val="002B7976"/>
    <w:rsid w:val="002C048D"/>
    <w:rsid w:val="002C1483"/>
    <w:rsid w:val="002C1616"/>
    <w:rsid w:val="002C17DE"/>
    <w:rsid w:val="002C1BB4"/>
    <w:rsid w:val="002C1FE9"/>
    <w:rsid w:val="002C2BD1"/>
    <w:rsid w:val="002C2DA0"/>
    <w:rsid w:val="002C3B16"/>
    <w:rsid w:val="002C3EF2"/>
    <w:rsid w:val="002C419D"/>
    <w:rsid w:val="002C4AA7"/>
    <w:rsid w:val="002C4B94"/>
    <w:rsid w:val="002C4C27"/>
    <w:rsid w:val="002C4F6A"/>
    <w:rsid w:val="002C5235"/>
    <w:rsid w:val="002C5327"/>
    <w:rsid w:val="002C5DD8"/>
    <w:rsid w:val="002C6932"/>
    <w:rsid w:val="002C6992"/>
    <w:rsid w:val="002C6C2B"/>
    <w:rsid w:val="002C6E54"/>
    <w:rsid w:val="002C6FF4"/>
    <w:rsid w:val="002D1C38"/>
    <w:rsid w:val="002D2849"/>
    <w:rsid w:val="002D2FAF"/>
    <w:rsid w:val="002D3214"/>
    <w:rsid w:val="002D450E"/>
    <w:rsid w:val="002D4536"/>
    <w:rsid w:val="002D47A5"/>
    <w:rsid w:val="002D52D1"/>
    <w:rsid w:val="002D60F9"/>
    <w:rsid w:val="002D6C09"/>
    <w:rsid w:val="002D74B2"/>
    <w:rsid w:val="002D74BB"/>
    <w:rsid w:val="002D7F5B"/>
    <w:rsid w:val="002E039B"/>
    <w:rsid w:val="002E04C2"/>
    <w:rsid w:val="002E09B4"/>
    <w:rsid w:val="002E0BB3"/>
    <w:rsid w:val="002E10EF"/>
    <w:rsid w:val="002E124F"/>
    <w:rsid w:val="002E1276"/>
    <w:rsid w:val="002E241A"/>
    <w:rsid w:val="002E30E7"/>
    <w:rsid w:val="002E3144"/>
    <w:rsid w:val="002E341B"/>
    <w:rsid w:val="002E408D"/>
    <w:rsid w:val="002E6336"/>
    <w:rsid w:val="002E67C6"/>
    <w:rsid w:val="002E6977"/>
    <w:rsid w:val="002E6F46"/>
    <w:rsid w:val="002E75E3"/>
    <w:rsid w:val="002F034C"/>
    <w:rsid w:val="002F091D"/>
    <w:rsid w:val="002F1E93"/>
    <w:rsid w:val="002F2444"/>
    <w:rsid w:val="002F2A13"/>
    <w:rsid w:val="002F2E9B"/>
    <w:rsid w:val="002F31DC"/>
    <w:rsid w:val="002F34D7"/>
    <w:rsid w:val="002F3963"/>
    <w:rsid w:val="002F614B"/>
    <w:rsid w:val="002F6BF9"/>
    <w:rsid w:val="002F6DA0"/>
    <w:rsid w:val="002F6EFC"/>
    <w:rsid w:val="002F73AC"/>
    <w:rsid w:val="002F76AE"/>
    <w:rsid w:val="002F7B01"/>
    <w:rsid w:val="002F7BDE"/>
    <w:rsid w:val="003006E4"/>
    <w:rsid w:val="0030076A"/>
    <w:rsid w:val="003013AA"/>
    <w:rsid w:val="00301B70"/>
    <w:rsid w:val="0030263E"/>
    <w:rsid w:val="00302805"/>
    <w:rsid w:val="00302807"/>
    <w:rsid w:val="00302A36"/>
    <w:rsid w:val="003037BD"/>
    <w:rsid w:val="00303AEF"/>
    <w:rsid w:val="00303E30"/>
    <w:rsid w:val="00303F3F"/>
    <w:rsid w:val="0030448B"/>
    <w:rsid w:val="003049F1"/>
    <w:rsid w:val="00304BE4"/>
    <w:rsid w:val="00305135"/>
    <w:rsid w:val="00305E40"/>
    <w:rsid w:val="00306436"/>
    <w:rsid w:val="003065F0"/>
    <w:rsid w:val="003077A9"/>
    <w:rsid w:val="003077F1"/>
    <w:rsid w:val="00307FD8"/>
    <w:rsid w:val="0031069F"/>
    <w:rsid w:val="003110C6"/>
    <w:rsid w:val="003113CA"/>
    <w:rsid w:val="0031186C"/>
    <w:rsid w:val="00311AEA"/>
    <w:rsid w:val="00311D8E"/>
    <w:rsid w:val="00312447"/>
    <w:rsid w:val="00312504"/>
    <w:rsid w:val="003125A8"/>
    <w:rsid w:val="00312C89"/>
    <w:rsid w:val="00312FCE"/>
    <w:rsid w:val="00313554"/>
    <w:rsid w:val="00313840"/>
    <w:rsid w:val="00313945"/>
    <w:rsid w:val="00313CC3"/>
    <w:rsid w:val="0031405C"/>
    <w:rsid w:val="003144D1"/>
    <w:rsid w:val="00314672"/>
    <w:rsid w:val="00314C11"/>
    <w:rsid w:val="00315022"/>
    <w:rsid w:val="003158FF"/>
    <w:rsid w:val="00316351"/>
    <w:rsid w:val="0031680E"/>
    <w:rsid w:val="00316815"/>
    <w:rsid w:val="00316889"/>
    <w:rsid w:val="00316DF4"/>
    <w:rsid w:val="003172B0"/>
    <w:rsid w:val="00317848"/>
    <w:rsid w:val="003179A7"/>
    <w:rsid w:val="00317B47"/>
    <w:rsid w:val="003203E0"/>
    <w:rsid w:val="0032042A"/>
    <w:rsid w:val="003204F9"/>
    <w:rsid w:val="00320BCF"/>
    <w:rsid w:val="00321C03"/>
    <w:rsid w:val="0032238C"/>
    <w:rsid w:val="003226EF"/>
    <w:rsid w:val="0032292D"/>
    <w:rsid w:val="00322DC9"/>
    <w:rsid w:val="00323485"/>
    <w:rsid w:val="00323627"/>
    <w:rsid w:val="00323730"/>
    <w:rsid w:val="00324669"/>
    <w:rsid w:val="0032472F"/>
    <w:rsid w:val="00324ABD"/>
    <w:rsid w:val="00324BE6"/>
    <w:rsid w:val="003253FF"/>
    <w:rsid w:val="003260AA"/>
    <w:rsid w:val="0032733F"/>
    <w:rsid w:val="00327523"/>
    <w:rsid w:val="00327E8C"/>
    <w:rsid w:val="00330A6E"/>
    <w:rsid w:val="003318E1"/>
    <w:rsid w:val="00331D2D"/>
    <w:rsid w:val="00331F00"/>
    <w:rsid w:val="00331FF8"/>
    <w:rsid w:val="003321DC"/>
    <w:rsid w:val="00332E30"/>
    <w:rsid w:val="00333341"/>
    <w:rsid w:val="003335DC"/>
    <w:rsid w:val="00333C4B"/>
    <w:rsid w:val="00333D10"/>
    <w:rsid w:val="0033552C"/>
    <w:rsid w:val="00335884"/>
    <w:rsid w:val="00335DA7"/>
    <w:rsid w:val="00336FFD"/>
    <w:rsid w:val="00337243"/>
    <w:rsid w:val="00337A77"/>
    <w:rsid w:val="0033AED3"/>
    <w:rsid w:val="0034092D"/>
    <w:rsid w:val="003423B6"/>
    <w:rsid w:val="00343023"/>
    <w:rsid w:val="00343227"/>
    <w:rsid w:val="003439D7"/>
    <w:rsid w:val="00343A0D"/>
    <w:rsid w:val="00343CC9"/>
    <w:rsid w:val="00343FEA"/>
    <w:rsid w:val="003440ED"/>
    <w:rsid w:val="003444C4"/>
    <w:rsid w:val="003454F9"/>
    <w:rsid w:val="00345D48"/>
    <w:rsid w:val="003464AC"/>
    <w:rsid w:val="003464BD"/>
    <w:rsid w:val="00346521"/>
    <w:rsid w:val="00346B6C"/>
    <w:rsid w:val="00346D60"/>
    <w:rsid w:val="00346DD4"/>
    <w:rsid w:val="003470FF"/>
    <w:rsid w:val="00347566"/>
    <w:rsid w:val="00347F47"/>
    <w:rsid w:val="00350E4B"/>
    <w:rsid w:val="00350F7C"/>
    <w:rsid w:val="00350F99"/>
    <w:rsid w:val="00351C38"/>
    <w:rsid w:val="00352BCD"/>
    <w:rsid w:val="003540DC"/>
    <w:rsid w:val="00354164"/>
    <w:rsid w:val="00354530"/>
    <w:rsid w:val="003545DA"/>
    <w:rsid w:val="0035495E"/>
    <w:rsid w:val="00354AFA"/>
    <w:rsid w:val="00355280"/>
    <w:rsid w:val="003555BA"/>
    <w:rsid w:val="00355840"/>
    <w:rsid w:val="003564F1"/>
    <w:rsid w:val="003564F9"/>
    <w:rsid w:val="00357483"/>
    <w:rsid w:val="00357A16"/>
    <w:rsid w:val="0036098A"/>
    <w:rsid w:val="00360BA9"/>
    <w:rsid w:val="00361EA6"/>
    <w:rsid w:val="00362450"/>
    <w:rsid w:val="00362C91"/>
    <w:rsid w:val="00363950"/>
    <w:rsid w:val="00363AC8"/>
    <w:rsid w:val="00363B69"/>
    <w:rsid w:val="00364DD6"/>
    <w:rsid w:val="00365730"/>
    <w:rsid w:val="00365F10"/>
    <w:rsid w:val="003663C3"/>
    <w:rsid w:val="00366745"/>
    <w:rsid w:val="003667A7"/>
    <w:rsid w:val="00366C08"/>
    <w:rsid w:val="00367085"/>
    <w:rsid w:val="0036CD9F"/>
    <w:rsid w:val="003716FD"/>
    <w:rsid w:val="00371853"/>
    <w:rsid w:val="00371A5F"/>
    <w:rsid w:val="00372A6F"/>
    <w:rsid w:val="00372CE3"/>
    <w:rsid w:val="0037341B"/>
    <w:rsid w:val="00373850"/>
    <w:rsid w:val="00373C7C"/>
    <w:rsid w:val="00374012"/>
    <w:rsid w:val="00375059"/>
    <w:rsid w:val="0037507E"/>
    <w:rsid w:val="003762B6"/>
    <w:rsid w:val="00376B47"/>
    <w:rsid w:val="0037742B"/>
    <w:rsid w:val="00377667"/>
    <w:rsid w:val="003776CF"/>
    <w:rsid w:val="00380129"/>
    <w:rsid w:val="00380A2A"/>
    <w:rsid w:val="00380AFC"/>
    <w:rsid w:val="00380D75"/>
    <w:rsid w:val="00382831"/>
    <w:rsid w:val="00382AFF"/>
    <w:rsid w:val="003837D2"/>
    <w:rsid w:val="003838E8"/>
    <w:rsid w:val="00383A5A"/>
    <w:rsid w:val="003840DB"/>
    <w:rsid w:val="00384A4F"/>
    <w:rsid w:val="00384AAC"/>
    <w:rsid w:val="00384E61"/>
    <w:rsid w:val="00384F03"/>
    <w:rsid w:val="00385D8B"/>
    <w:rsid w:val="00385E69"/>
    <w:rsid w:val="00385F4D"/>
    <w:rsid w:val="00386508"/>
    <w:rsid w:val="00386EE1"/>
    <w:rsid w:val="003874C9"/>
    <w:rsid w:val="0038754C"/>
    <w:rsid w:val="00387FC4"/>
    <w:rsid w:val="00390B05"/>
    <w:rsid w:val="0039131A"/>
    <w:rsid w:val="00391B91"/>
    <w:rsid w:val="00391C4D"/>
    <w:rsid w:val="00391FCC"/>
    <w:rsid w:val="003924F8"/>
    <w:rsid w:val="0039291E"/>
    <w:rsid w:val="00392B59"/>
    <w:rsid w:val="00392CBB"/>
    <w:rsid w:val="00392CE1"/>
    <w:rsid w:val="003935E5"/>
    <w:rsid w:val="003939B9"/>
    <w:rsid w:val="00393B01"/>
    <w:rsid w:val="00393B70"/>
    <w:rsid w:val="0039400D"/>
    <w:rsid w:val="00394B6D"/>
    <w:rsid w:val="003952F4"/>
    <w:rsid w:val="003953C2"/>
    <w:rsid w:val="0039567E"/>
    <w:rsid w:val="003972EE"/>
    <w:rsid w:val="00397AD6"/>
    <w:rsid w:val="003A041E"/>
    <w:rsid w:val="003A053F"/>
    <w:rsid w:val="003A078F"/>
    <w:rsid w:val="003A16AE"/>
    <w:rsid w:val="003A2195"/>
    <w:rsid w:val="003A2A11"/>
    <w:rsid w:val="003A2A22"/>
    <w:rsid w:val="003A432C"/>
    <w:rsid w:val="003A44A2"/>
    <w:rsid w:val="003A4702"/>
    <w:rsid w:val="003A48AD"/>
    <w:rsid w:val="003A5BE2"/>
    <w:rsid w:val="003A63E4"/>
    <w:rsid w:val="003A63ED"/>
    <w:rsid w:val="003A6589"/>
    <w:rsid w:val="003A7CAA"/>
    <w:rsid w:val="003B00F6"/>
    <w:rsid w:val="003B06DD"/>
    <w:rsid w:val="003B08E2"/>
    <w:rsid w:val="003B0E33"/>
    <w:rsid w:val="003B15C6"/>
    <w:rsid w:val="003B16A6"/>
    <w:rsid w:val="003B1704"/>
    <w:rsid w:val="003B2EF2"/>
    <w:rsid w:val="003B3CB6"/>
    <w:rsid w:val="003B4325"/>
    <w:rsid w:val="003B4332"/>
    <w:rsid w:val="003B45DB"/>
    <w:rsid w:val="003B55FC"/>
    <w:rsid w:val="003B5AC7"/>
    <w:rsid w:val="003C07DF"/>
    <w:rsid w:val="003C10A0"/>
    <w:rsid w:val="003C1271"/>
    <w:rsid w:val="003C1919"/>
    <w:rsid w:val="003C1A59"/>
    <w:rsid w:val="003C1D88"/>
    <w:rsid w:val="003C2383"/>
    <w:rsid w:val="003C2A04"/>
    <w:rsid w:val="003C33D3"/>
    <w:rsid w:val="003C3815"/>
    <w:rsid w:val="003C42CC"/>
    <w:rsid w:val="003C42DF"/>
    <w:rsid w:val="003C4F3A"/>
    <w:rsid w:val="003C5170"/>
    <w:rsid w:val="003C5D70"/>
    <w:rsid w:val="003C6A9E"/>
    <w:rsid w:val="003C783A"/>
    <w:rsid w:val="003C7B87"/>
    <w:rsid w:val="003C7E22"/>
    <w:rsid w:val="003D0790"/>
    <w:rsid w:val="003D08C9"/>
    <w:rsid w:val="003D1030"/>
    <w:rsid w:val="003D2018"/>
    <w:rsid w:val="003D2898"/>
    <w:rsid w:val="003D2D07"/>
    <w:rsid w:val="003D372A"/>
    <w:rsid w:val="003D4006"/>
    <w:rsid w:val="003D40D5"/>
    <w:rsid w:val="003D4A18"/>
    <w:rsid w:val="003D4EE5"/>
    <w:rsid w:val="003D5076"/>
    <w:rsid w:val="003D55EF"/>
    <w:rsid w:val="003D582F"/>
    <w:rsid w:val="003D66C1"/>
    <w:rsid w:val="003D7225"/>
    <w:rsid w:val="003D7430"/>
    <w:rsid w:val="003D7BB6"/>
    <w:rsid w:val="003D7D71"/>
    <w:rsid w:val="003E071F"/>
    <w:rsid w:val="003E1CE5"/>
    <w:rsid w:val="003E23CA"/>
    <w:rsid w:val="003E2D3E"/>
    <w:rsid w:val="003E3557"/>
    <w:rsid w:val="003E47F0"/>
    <w:rsid w:val="003E4EFB"/>
    <w:rsid w:val="003E505F"/>
    <w:rsid w:val="003E57FD"/>
    <w:rsid w:val="003E5BDF"/>
    <w:rsid w:val="003E5DE0"/>
    <w:rsid w:val="003E6043"/>
    <w:rsid w:val="003E6924"/>
    <w:rsid w:val="003E6BDE"/>
    <w:rsid w:val="003E6F21"/>
    <w:rsid w:val="003E75AE"/>
    <w:rsid w:val="003E7702"/>
    <w:rsid w:val="003E7B1F"/>
    <w:rsid w:val="003E7C5D"/>
    <w:rsid w:val="003F09CE"/>
    <w:rsid w:val="003F1D14"/>
    <w:rsid w:val="003F24B5"/>
    <w:rsid w:val="003F32AA"/>
    <w:rsid w:val="003F4922"/>
    <w:rsid w:val="003F4962"/>
    <w:rsid w:val="003F52E4"/>
    <w:rsid w:val="003F57D1"/>
    <w:rsid w:val="003F5A65"/>
    <w:rsid w:val="003F5A8C"/>
    <w:rsid w:val="003F5D4E"/>
    <w:rsid w:val="003F5F75"/>
    <w:rsid w:val="003F62FA"/>
    <w:rsid w:val="003F65F8"/>
    <w:rsid w:val="003F71E8"/>
    <w:rsid w:val="003F76C5"/>
    <w:rsid w:val="003F772D"/>
    <w:rsid w:val="003F7C56"/>
    <w:rsid w:val="004002B6"/>
    <w:rsid w:val="004011D7"/>
    <w:rsid w:val="004014CB"/>
    <w:rsid w:val="00401C8B"/>
    <w:rsid w:val="00401F00"/>
    <w:rsid w:val="00401F37"/>
    <w:rsid w:val="004023DA"/>
    <w:rsid w:val="0040258B"/>
    <w:rsid w:val="0040335E"/>
    <w:rsid w:val="00403C3A"/>
    <w:rsid w:val="00405CD9"/>
    <w:rsid w:val="00405FCC"/>
    <w:rsid w:val="00406297"/>
    <w:rsid w:val="00406810"/>
    <w:rsid w:val="00406A49"/>
    <w:rsid w:val="00406B35"/>
    <w:rsid w:val="00407D40"/>
    <w:rsid w:val="004111EC"/>
    <w:rsid w:val="0041126A"/>
    <w:rsid w:val="00411324"/>
    <w:rsid w:val="00412387"/>
    <w:rsid w:val="004128DE"/>
    <w:rsid w:val="004145C2"/>
    <w:rsid w:val="0041588F"/>
    <w:rsid w:val="004158E1"/>
    <w:rsid w:val="00415BE3"/>
    <w:rsid w:val="00415D6A"/>
    <w:rsid w:val="00415FC3"/>
    <w:rsid w:val="0041695A"/>
    <w:rsid w:val="00416CDA"/>
    <w:rsid w:val="004170AE"/>
    <w:rsid w:val="00417A3E"/>
    <w:rsid w:val="004202F6"/>
    <w:rsid w:val="00420D7C"/>
    <w:rsid w:val="00420DE1"/>
    <w:rsid w:val="004214E8"/>
    <w:rsid w:val="0042155D"/>
    <w:rsid w:val="004224FE"/>
    <w:rsid w:val="0042275C"/>
    <w:rsid w:val="0042309A"/>
    <w:rsid w:val="00424189"/>
    <w:rsid w:val="0042432F"/>
    <w:rsid w:val="0042471C"/>
    <w:rsid w:val="0042492C"/>
    <w:rsid w:val="00424B05"/>
    <w:rsid w:val="00424DB7"/>
    <w:rsid w:val="00424E4B"/>
    <w:rsid w:val="004255C6"/>
    <w:rsid w:val="00426AEE"/>
    <w:rsid w:val="0042703D"/>
    <w:rsid w:val="00427560"/>
    <w:rsid w:val="004309F3"/>
    <w:rsid w:val="0043116C"/>
    <w:rsid w:val="0043297B"/>
    <w:rsid w:val="0043299E"/>
    <w:rsid w:val="00432B73"/>
    <w:rsid w:val="004334DC"/>
    <w:rsid w:val="00433694"/>
    <w:rsid w:val="004338C8"/>
    <w:rsid w:val="004343EA"/>
    <w:rsid w:val="00434604"/>
    <w:rsid w:val="0043523B"/>
    <w:rsid w:val="004363F4"/>
    <w:rsid w:val="00436E38"/>
    <w:rsid w:val="004376A9"/>
    <w:rsid w:val="004400F6"/>
    <w:rsid w:val="004401C6"/>
    <w:rsid w:val="0044117B"/>
    <w:rsid w:val="00441404"/>
    <w:rsid w:val="00441674"/>
    <w:rsid w:val="00441825"/>
    <w:rsid w:val="004439D9"/>
    <w:rsid w:val="00443BC0"/>
    <w:rsid w:val="00444175"/>
    <w:rsid w:val="00444B08"/>
    <w:rsid w:val="00444D14"/>
    <w:rsid w:val="00445352"/>
    <w:rsid w:val="004457A3"/>
    <w:rsid w:val="00445902"/>
    <w:rsid w:val="00445FA8"/>
    <w:rsid w:val="00446B1F"/>
    <w:rsid w:val="00447DFA"/>
    <w:rsid w:val="004513E9"/>
    <w:rsid w:val="004517DF"/>
    <w:rsid w:val="004519E0"/>
    <w:rsid w:val="00451ECD"/>
    <w:rsid w:val="00452602"/>
    <w:rsid w:val="004528E6"/>
    <w:rsid w:val="00452FDB"/>
    <w:rsid w:val="00454572"/>
    <w:rsid w:val="00454EFD"/>
    <w:rsid w:val="00455659"/>
    <w:rsid w:val="004559CD"/>
    <w:rsid w:val="00455BB2"/>
    <w:rsid w:val="00456379"/>
    <w:rsid w:val="00456918"/>
    <w:rsid w:val="00456AEA"/>
    <w:rsid w:val="00456D2F"/>
    <w:rsid w:val="00456F9C"/>
    <w:rsid w:val="00457EC9"/>
    <w:rsid w:val="00460000"/>
    <w:rsid w:val="004604B4"/>
    <w:rsid w:val="00460EB0"/>
    <w:rsid w:val="00460FC1"/>
    <w:rsid w:val="00462269"/>
    <w:rsid w:val="00462505"/>
    <w:rsid w:val="00462DF9"/>
    <w:rsid w:val="0046396B"/>
    <w:rsid w:val="00464749"/>
    <w:rsid w:val="0046494A"/>
    <w:rsid w:val="00464996"/>
    <w:rsid w:val="00466C27"/>
    <w:rsid w:val="004670DE"/>
    <w:rsid w:val="0046783E"/>
    <w:rsid w:val="004702FB"/>
    <w:rsid w:val="00470AAC"/>
    <w:rsid w:val="0047103C"/>
    <w:rsid w:val="00471175"/>
    <w:rsid w:val="004715C9"/>
    <w:rsid w:val="00471627"/>
    <w:rsid w:val="00472092"/>
    <w:rsid w:val="00472ADC"/>
    <w:rsid w:val="00473CC3"/>
    <w:rsid w:val="00475091"/>
    <w:rsid w:val="0047643B"/>
    <w:rsid w:val="00476499"/>
    <w:rsid w:val="0047665E"/>
    <w:rsid w:val="00476F4E"/>
    <w:rsid w:val="00477A2F"/>
    <w:rsid w:val="00480210"/>
    <w:rsid w:val="00480279"/>
    <w:rsid w:val="004803D1"/>
    <w:rsid w:val="00480920"/>
    <w:rsid w:val="00480A14"/>
    <w:rsid w:val="0048189D"/>
    <w:rsid w:val="00482B25"/>
    <w:rsid w:val="00482D9E"/>
    <w:rsid w:val="00483680"/>
    <w:rsid w:val="00485EB2"/>
    <w:rsid w:val="0048629E"/>
    <w:rsid w:val="004867FA"/>
    <w:rsid w:val="00486D4A"/>
    <w:rsid w:val="00487599"/>
    <w:rsid w:val="00490001"/>
    <w:rsid w:val="00490960"/>
    <w:rsid w:val="004909E8"/>
    <w:rsid w:val="00490B5A"/>
    <w:rsid w:val="00491BD9"/>
    <w:rsid w:val="00491DDE"/>
    <w:rsid w:val="00491E8E"/>
    <w:rsid w:val="00492357"/>
    <w:rsid w:val="004926AF"/>
    <w:rsid w:val="00492C5F"/>
    <w:rsid w:val="00492D5C"/>
    <w:rsid w:val="0049360E"/>
    <w:rsid w:val="00493B29"/>
    <w:rsid w:val="00494818"/>
    <w:rsid w:val="00497B4D"/>
    <w:rsid w:val="00497EF8"/>
    <w:rsid w:val="00497F3D"/>
    <w:rsid w:val="00497F75"/>
    <w:rsid w:val="004A0152"/>
    <w:rsid w:val="004A0BC4"/>
    <w:rsid w:val="004A174E"/>
    <w:rsid w:val="004A1ADF"/>
    <w:rsid w:val="004A1CC0"/>
    <w:rsid w:val="004A2CCF"/>
    <w:rsid w:val="004A2EAC"/>
    <w:rsid w:val="004A3814"/>
    <w:rsid w:val="004A3872"/>
    <w:rsid w:val="004A3D38"/>
    <w:rsid w:val="004A46C0"/>
    <w:rsid w:val="004A46CB"/>
    <w:rsid w:val="004A4A3B"/>
    <w:rsid w:val="004A4B18"/>
    <w:rsid w:val="004A4DEA"/>
    <w:rsid w:val="004A5AAA"/>
    <w:rsid w:val="004A6159"/>
    <w:rsid w:val="004A6715"/>
    <w:rsid w:val="004A699C"/>
    <w:rsid w:val="004A6A70"/>
    <w:rsid w:val="004A6F6C"/>
    <w:rsid w:val="004B00C3"/>
    <w:rsid w:val="004B00EC"/>
    <w:rsid w:val="004B0D45"/>
    <w:rsid w:val="004B1339"/>
    <w:rsid w:val="004B2075"/>
    <w:rsid w:val="004B225A"/>
    <w:rsid w:val="004B2E65"/>
    <w:rsid w:val="004B3357"/>
    <w:rsid w:val="004B4992"/>
    <w:rsid w:val="004B566A"/>
    <w:rsid w:val="004B575C"/>
    <w:rsid w:val="004B618C"/>
    <w:rsid w:val="004B62F9"/>
    <w:rsid w:val="004B695B"/>
    <w:rsid w:val="004B6BA6"/>
    <w:rsid w:val="004B7389"/>
    <w:rsid w:val="004B7566"/>
    <w:rsid w:val="004B76DB"/>
    <w:rsid w:val="004C201F"/>
    <w:rsid w:val="004C214F"/>
    <w:rsid w:val="004C2512"/>
    <w:rsid w:val="004C2E4A"/>
    <w:rsid w:val="004C2EBF"/>
    <w:rsid w:val="004C3609"/>
    <w:rsid w:val="004C3935"/>
    <w:rsid w:val="004C4618"/>
    <w:rsid w:val="004C4CBF"/>
    <w:rsid w:val="004C505C"/>
    <w:rsid w:val="004C54CC"/>
    <w:rsid w:val="004C5B54"/>
    <w:rsid w:val="004C652B"/>
    <w:rsid w:val="004D0B87"/>
    <w:rsid w:val="004D0D5C"/>
    <w:rsid w:val="004D207B"/>
    <w:rsid w:val="004D20FD"/>
    <w:rsid w:val="004D27BE"/>
    <w:rsid w:val="004D3B9A"/>
    <w:rsid w:val="004D44D9"/>
    <w:rsid w:val="004D4676"/>
    <w:rsid w:val="004D4876"/>
    <w:rsid w:val="004D49A4"/>
    <w:rsid w:val="004D4A9B"/>
    <w:rsid w:val="004D4F93"/>
    <w:rsid w:val="004D5BFB"/>
    <w:rsid w:val="004D6728"/>
    <w:rsid w:val="004D709A"/>
    <w:rsid w:val="004D71E8"/>
    <w:rsid w:val="004D769E"/>
    <w:rsid w:val="004D7954"/>
    <w:rsid w:val="004D7E87"/>
    <w:rsid w:val="004E0F7B"/>
    <w:rsid w:val="004E1A86"/>
    <w:rsid w:val="004E239A"/>
    <w:rsid w:val="004E3345"/>
    <w:rsid w:val="004E4569"/>
    <w:rsid w:val="004E47F3"/>
    <w:rsid w:val="004E48CF"/>
    <w:rsid w:val="004E4AA0"/>
    <w:rsid w:val="004E5351"/>
    <w:rsid w:val="004E536C"/>
    <w:rsid w:val="004E5D61"/>
    <w:rsid w:val="004E6640"/>
    <w:rsid w:val="004E684F"/>
    <w:rsid w:val="004E6A8A"/>
    <w:rsid w:val="004E6AF6"/>
    <w:rsid w:val="004E6C06"/>
    <w:rsid w:val="004E6DAD"/>
    <w:rsid w:val="004E774D"/>
    <w:rsid w:val="004F0B79"/>
    <w:rsid w:val="004F0BAF"/>
    <w:rsid w:val="004F1210"/>
    <w:rsid w:val="004F1273"/>
    <w:rsid w:val="004F1BAB"/>
    <w:rsid w:val="004F2797"/>
    <w:rsid w:val="004F2E61"/>
    <w:rsid w:val="004F2EBF"/>
    <w:rsid w:val="004F3151"/>
    <w:rsid w:val="004F4471"/>
    <w:rsid w:val="004F47E4"/>
    <w:rsid w:val="004F4F8F"/>
    <w:rsid w:val="004F5945"/>
    <w:rsid w:val="004F6025"/>
    <w:rsid w:val="004F632B"/>
    <w:rsid w:val="004F64C8"/>
    <w:rsid w:val="004F6705"/>
    <w:rsid w:val="004F6CA1"/>
    <w:rsid w:val="004F6CDB"/>
    <w:rsid w:val="004F705B"/>
    <w:rsid w:val="004F7872"/>
    <w:rsid w:val="004F788F"/>
    <w:rsid w:val="005001EC"/>
    <w:rsid w:val="005009C9"/>
    <w:rsid w:val="00500EF1"/>
    <w:rsid w:val="005011B5"/>
    <w:rsid w:val="0050131D"/>
    <w:rsid w:val="005014E6"/>
    <w:rsid w:val="005015AE"/>
    <w:rsid w:val="00501F96"/>
    <w:rsid w:val="00502FDF"/>
    <w:rsid w:val="005046EB"/>
    <w:rsid w:val="005048F1"/>
    <w:rsid w:val="00505D63"/>
    <w:rsid w:val="005066CF"/>
    <w:rsid w:val="00506D88"/>
    <w:rsid w:val="00506DE1"/>
    <w:rsid w:val="0050704A"/>
    <w:rsid w:val="005079EA"/>
    <w:rsid w:val="00507A74"/>
    <w:rsid w:val="00510B08"/>
    <w:rsid w:val="00511902"/>
    <w:rsid w:val="00513783"/>
    <w:rsid w:val="0051442A"/>
    <w:rsid w:val="005149FE"/>
    <w:rsid w:val="00514C8F"/>
    <w:rsid w:val="005151F6"/>
    <w:rsid w:val="005152F6"/>
    <w:rsid w:val="0051541A"/>
    <w:rsid w:val="00516A24"/>
    <w:rsid w:val="00517796"/>
    <w:rsid w:val="00517866"/>
    <w:rsid w:val="00517E8C"/>
    <w:rsid w:val="00520012"/>
    <w:rsid w:val="00520BFE"/>
    <w:rsid w:val="005210BE"/>
    <w:rsid w:val="005212F8"/>
    <w:rsid w:val="00521433"/>
    <w:rsid w:val="00521A25"/>
    <w:rsid w:val="00521BFE"/>
    <w:rsid w:val="00522893"/>
    <w:rsid w:val="005232AF"/>
    <w:rsid w:val="00524746"/>
    <w:rsid w:val="00524E8F"/>
    <w:rsid w:val="005255F0"/>
    <w:rsid w:val="00526262"/>
    <w:rsid w:val="005272A0"/>
    <w:rsid w:val="00530080"/>
    <w:rsid w:val="00530AAF"/>
    <w:rsid w:val="00530F99"/>
    <w:rsid w:val="00531359"/>
    <w:rsid w:val="00531769"/>
    <w:rsid w:val="00531C4F"/>
    <w:rsid w:val="0053279B"/>
    <w:rsid w:val="005331D7"/>
    <w:rsid w:val="00533DF1"/>
    <w:rsid w:val="00533E0F"/>
    <w:rsid w:val="00534654"/>
    <w:rsid w:val="00534975"/>
    <w:rsid w:val="00535178"/>
    <w:rsid w:val="005356E3"/>
    <w:rsid w:val="00535B3F"/>
    <w:rsid w:val="005362F0"/>
    <w:rsid w:val="00536B84"/>
    <w:rsid w:val="0054037E"/>
    <w:rsid w:val="005405A3"/>
    <w:rsid w:val="00540689"/>
    <w:rsid w:val="00540922"/>
    <w:rsid w:val="00540CF4"/>
    <w:rsid w:val="00541940"/>
    <w:rsid w:val="00542755"/>
    <w:rsid w:val="005429B2"/>
    <w:rsid w:val="00542B7A"/>
    <w:rsid w:val="00542C3E"/>
    <w:rsid w:val="005442EB"/>
    <w:rsid w:val="00544622"/>
    <w:rsid w:val="00544A36"/>
    <w:rsid w:val="0054568E"/>
    <w:rsid w:val="00546966"/>
    <w:rsid w:val="00550021"/>
    <w:rsid w:val="005503EC"/>
    <w:rsid w:val="00550BB2"/>
    <w:rsid w:val="00550DC2"/>
    <w:rsid w:val="00550F90"/>
    <w:rsid w:val="005520D0"/>
    <w:rsid w:val="0055280E"/>
    <w:rsid w:val="00553A02"/>
    <w:rsid w:val="00553E13"/>
    <w:rsid w:val="00553E39"/>
    <w:rsid w:val="00553F24"/>
    <w:rsid w:val="0055464D"/>
    <w:rsid w:val="0055475D"/>
    <w:rsid w:val="00554892"/>
    <w:rsid w:val="00554BE1"/>
    <w:rsid w:val="00554F47"/>
    <w:rsid w:val="005551BD"/>
    <w:rsid w:val="005551C5"/>
    <w:rsid w:val="005553BA"/>
    <w:rsid w:val="00555D5F"/>
    <w:rsid w:val="0055687B"/>
    <w:rsid w:val="005569F2"/>
    <w:rsid w:val="00556C48"/>
    <w:rsid w:val="005574AA"/>
    <w:rsid w:val="0055751C"/>
    <w:rsid w:val="0055796A"/>
    <w:rsid w:val="005609A0"/>
    <w:rsid w:val="005619C7"/>
    <w:rsid w:val="005619DC"/>
    <w:rsid w:val="00561C37"/>
    <w:rsid w:val="00561E30"/>
    <w:rsid w:val="0056244D"/>
    <w:rsid w:val="00562726"/>
    <w:rsid w:val="00562AA3"/>
    <w:rsid w:val="00562AF9"/>
    <w:rsid w:val="005643EA"/>
    <w:rsid w:val="00564813"/>
    <w:rsid w:val="00564C99"/>
    <w:rsid w:val="005661EE"/>
    <w:rsid w:val="00566852"/>
    <w:rsid w:val="00566893"/>
    <w:rsid w:val="00566B5B"/>
    <w:rsid w:val="00567696"/>
    <w:rsid w:val="00567ADF"/>
    <w:rsid w:val="00570031"/>
    <w:rsid w:val="0057035F"/>
    <w:rsid w:val="0057172A"/>
    <w:rsid w:val="00571DCB"/>
    <w:rsid w:val="005746C7"/>
    <w:rsid w:val="005746F8"/>
    <w:rsid w:val="005747C8"/>
    <w:rsid w:val="00574B62"/>
    <w:rsid w:val="00574E5E"/>
    <w:rsid w:val="00575995"/>
    <w:rsid w:val="00576043"/>
    <w:rsid w:val="00576578"/>
    <w:rsid w:val="00576823"/>
    <w:rsid w:val="00577A51"/>
    <w:rsid w:val="00577DFC"/>
    <w:rsid w:val="0058007C"/>
    <w:rsid w:val="005809EA"/>
    <w:rsid w:val="0058106E"/>
    <w:rsid w:val="005818DB"/>
    <w:rsid w:val="00582801"/>
    <w:rsid w:val="00582816"/>
    <w:rsid w:val="00583147"/>
    <w:rsid w:val="005834E8"/>
    <w:rsid w:val="0058393D"/>
    <w:rsid w:val="00583B7D"/>
    <w:rsid w:val="00584010"/>
    <w:rsid w:val="00584026"/>
    <w:rsid w:val="0058475E"/>
    <w:rsid w:val="0058476D"/>
    <w:rsid w:val="00584816"/>
    <w:rsid w:val="00585AE7"/>
    <w:rsid w:val="0058603B"/>
    <w:rsid w:val="00586628"/>
    <w:rsid w:val="00586BCE"/>
    <w:rsid w:val="00587ECA"/>
    <w:rsid w:val="00590960"/>
    <w:rsid w:val="0059127C"/>
    <w:rsid w:val="005913E4"/>
    <w:rsid w:val="0059162D"/>
    <w:rsid w:val="0059216F"/>
    <w:rsid w:val="00592D4E"/>
    <w:rsid w:val="00593E8B"/>
    <w:rsid w:val="0059485F"/>
    <w:rsid w:val="005952A9"/>
    <w:rsid w:val="00596108"/>
    <w:rsid w:val="0059635B"/>
    <w:rsid w:val="005964FF"/>
    <w:rsid w:val="00596571"/>
    <w:rsid w:val="00596C42"/>
    <w:rsid w:val="00596F45"/>
    <w:rsid w:val="00597CB3"/>
    <w:rsid w:val="005A01A2"/>
    <w:rsid w:val="005A0276"/>
    <w:rsid w:val="005A0E2F"/>
    <w:rsid w:val="005A156F"/>
    <w:rsid w:val="005A1F20"/>
    <w:rsid w:val="005A3047"/>
    <w:rsid w:val="005A36FB"/>
    <w:rsid w:val="005A3D1F"/>
    <w:rsid w:val="005A3F2F"/>
    <w:rsid w:val="005A40F6"/>
    <w:rsid w:val="005A465F"/>
    <w:rsid w:val="005A4CA1"/>
    <w:rsid w:val="005A533F"/>
    <w:rsid w:val="005A5C75"/>
    <w:rsid w:val="005A664E"/>
    <w:rsid w:val="005A68EB"/>
    <w:rsid w:val="005A748A"/>
    <w:rsid w:val="005A7BD7"/>
    <w:rsid w:val="005A7BF6"/>
    <w:rsid w:val="005B06B3"/>
    <w:rsid w:val="005B07E8"/>
    <w:rsid w:val="005B0820"/>
    <w:rsid w:val="005B1CA6"/>
    <w:rsid w:val="005B2F9D"/>
    <w:rsid w:val="005B3828"/>
    <w:rsid w:val="005B3B20"/>
    <w:rsid w:val="005B4237"/>
    <w:rsid w:val="005B4751"/>
    <w:rsid w:val="005B479F"/>
    <w:rsid w:val="005B4CB5"/>
    <w:rsid w:val="005B6092"/>
    <w:rsid w:val="005B6FD2"/>
    <w:rsid w:val="005B71EC"/>
    <w:rsid w:val="005B7258"/>
    <w:rsid w:val="005C0F95"/>
    <w:rsid w:val="005C1FD0"/>
    <w:rsid w:val="005C209C"/>
    <w:rsid w:val="005C40D9"/>
    <w:rsid w:val="005C4297"/>
    <w:rsid w:val="005C43DF"/>
    <w:rsid w:val="005C4959"/>
    <w:rsid w:val="005C4EC8"/>
    <w:rsid w:val="005C5381"/>
    <w:rsid w:val="005C5C0A"/>
    <w:rsid w:val="005C5C51"/>
    <w:rsid w:val="005C5ED6"/>
    <w:rsid w:val="005C61A1"/>
    <w:rsid w:val="005C6702"/>
    <w:rsid w:val="005C6D6E"/>
    <w:rsid w:val="005C7136"/>
    <w:rsid w:val="005C72BC"/>
    <w:rsid w:val="005C73F8"/>
    <w:rsid w:val="005D020B"/>
    <w:rsid w:val="005D0AEA"/>
    <w:rsid w:val="005D1B2D"/>
    <w:rsid w:val="005D1D87"/>
    <w:rsid w:val="005D23F2"/>
    <w:rsid w:val="005D25D3"/>
    <w:rsid w:val="005D25DC"/>
    <w:rsid w:val="005D2786"/>
    <w:rsid w:val="005D2F16"/>
    <w:rsid w:val="005D35C6"/>
    <w:rsid w:val="005D378C"/>
    <w:rsid w:val="005D390E"/>
    <w:rsid w:val="005D501A"/>
    <w:rsid w:val="005D5B7B"/>
    <w:rsid w:val="005D6705"/>
    <w:rsid w:val="005D728B"/>
    <w:rsid w:val="005D7DD0"/>
    <w:rsid w:val="005E02B4"/>
    <w:rsid w:val="005E0844"/>
    <w:rsid w:val="005E181D"/>
    <w:rsid w:val="005E2EE8"/>
    <w:rsid w:val="005E3133"/>
    <w:rsid w:val="005E3E62"/>
    <w:rsid w:val="005E457B"/>
    <w:rsid w:val="005E55D1"/>
    <w:rsid w:val="005E6206"/>
    <w:rsid w:val="005E62B2"/>
    <w:rsid w:val="005E72C4"/>
    <w:rsid w:val="005F08DB"/>
    <w:rsid w:val="005F0C06"/>
    <w:rsid w:val="005F2094"/>
    <w:rsid w:val="005F24D8"/>
    <w:rsid w:val="005F3743"/>
    <w:rsid w:val="005F49D2"/>
    <w:rsid w:val="005F5A26"/>
    <w:rsid w:val="005F60F6"/>
    <w:rsid w:val="005F626E"/>
    <w:rsid w:val="005F65BE"/>
    <w:rsid w:val="005F6A9B"/>
    <w:rsid w:val="005F7082"/>
    <w:rsid w:val="005F74ED"/>
    <w:rsid w:val="00600A8B"/>
    <w:rsid w:val="00601053"/>
    <w:rsid w:val="0060113A"/>
    <w:rsid w:val="00601F41"/>
    <w:rsid w:val="0060377F"/>
    <w:rsid w:val="00604011"/>
    <w:rsid w:val="00604046"/>
    <w:rsid w:val="00604E1B"/>
    <w:rsid w:val="00605F50"/>
    <w:rsid w:val="006065C4"/>
    <w:rsid w:val="00606A89"/>
    <w:rsid w:val="00610463"/>
    <w:rsid w:val="00610EC6"/>
    <w:rsid w:val="00611126"/>
    <w:rsid w:val="00612544"/>
    <w:rsid w:val="00614301"/>
    <w:rsid w:val="0061569C"/>
    <w:rsid w:val="0061646C"/>
    <w:rsid w:val="00616730"/>
    <w:rsid w:val="0061677C"/>
    <w:rsid w:val="00617187"/>
    <w:rsid w:val="00617247"/>
    <w:rsid w:val="006172E1"/>
    <w:rsid w:val="006176D3"/>
    <w:rsid w:val="00617DFF"/>
    <w:rsid w:val="00620395"/>
    <w:rsid w:val="006204C0"/>
    <w:rsid w:val="00620A12"/>
    <w:rsid w:val="00621032"/>
    <w:rsid w:val="006211CD"/>
    <w:rsid w:val="006214B9"/>
    <w:rsid w:val="006214E6"/>
    <w:rsid w:val="006218FE"/>
    <w:rsid w:val="006222F9"/>
    <w:rsid w:val="006223A9"/>
    <w:rsid w:val="00622953"/>
    <w:rsid w:val="006229EA"/>
    <w:rsid w:val="00623316"/>
    <w:rsid w:val="00623541"/>
    <w:rsid w:val="0062358F"/>
    <w:rsid w:val="00623B7F"/>
    <w:rsid w:val="006273AE"/>
    <w:rsid w:val="0062770A"/>
    <w:rsid w:val="00630393"/>
    <w:rsid w:val="00630968"/>
    <w:rsid w:val="006313B6"/>
    <w:rsid w:val="00632DBB"/>
    <w:rsid w:val="006330B2"/>
    <w:rsid w:val="006330B5"/>
    <w:rsid w:val="006334BA"/>
    <w:rsid w:val="0063379E"/>
    <w:rsid w:val="00634058"/>
    <w:rsid w:val="006347B4"/>
    <w:rsid w:val="006351A9"/>
    <w:rsid w:val="00635240"/>
    <w:rsid w:val="00635EFF"/>
    <w:rsid w:val="00636019"/>
    <w:rsid w:val="00636222"/>
    <w:rsid w:val="00636B4C"/>
    <w:rsid w:val="0063780E"/>
    <w:rsid w:val="00640642"/>
    <w:rsid w:val="006413B3"/>
    <w:rsid w:val="00642576"/>
    <w:rsid w:val="0064266C"/>
    <w:rsid w:val="006427C8"/>
    <w:rsid w:val="006429F9"/>
    <w:rsid w:val="00642CEA"/>
    <w:rsid w:val="00643848"/>
    <w:rsid w:val="00643ABF"/>
    <w:rsid w:val="00643CD7"/>
    <w:rsid w:val="006440AC"/>
    <w:rsid w:val="006441F2"/>
    <w:rsid w:val="00644369"/>
    <w:rsid w:val="00644A07"/>
    <w:rsid w:val="006455F2"/>
    <w:rsid w:val="00645EFF"/>
    <w:rsid w:val="00646FA9"/>
    <w:rsid w:val="006475EC"/>
    <w:rsid w:val="00647AC5"/>
    <w:rsid w:val="00650247"/>
    <w:rsid w:val="00650ABA"/>
    <w:rsid w:val="00651268"/>
    <w:rsid w:val="006514DC"/>
    <w:rsid w:val="0065278E"/>
    <w:rsid w:val="006528E6"/>
    <w:rsid w:val="00652B50"/>
    <w:rsid w:val="0065302D"/>
    <w:rsid w:val="0065369F"/>
    <w:rsid w:val="006539C0"/>
    <w:rsid w:val="00654702"/>
    <w:rsid w:val="00654C97"/>
    <w:rsid w:val="0065668B"/>
    <w:rsid w:val="00656D71"/>
    <w:rsid w:val="0065791B"/>
    <w:rsid w:val="006579DF"/>
    <w:rsid w:val="006608BE"/>
    <w:rsid w:val="006615A3"/>
    <w:rsid w:val="00662135"/>
    <w:rsid w:val="0066473B"/>
    <w:rsid w:val="006653C4"/>
    <w:rsid w:val="006665C2"/>
    <w:rsid w:val="0066677F"/>
    <w:rsid w:val="006669A4"/>
    <w:rsid w:val="0066732B"/>
    <w:rsid w:val="0066747C"/>
    <w:rsid w:val="006676AB"/>
    <w:rsid w:val="00667FAF"/>
    <w:rsid w:val="0067016E"/>
    <w:rsid w:val="00670766"/>
    <w:rsid w:val="00670E60"/>
    <w:rsid w:val="00671104"/>
    <w:rsid w:val="00671385"/>
    <w:rsid w:val="00671C61"/>
    <w:rsid w:val="00672AC2"/>
    <w:rsid w:val="00673CB1"/>
    <w:rsid w:val="00673D1D"/>
    <w:rsid w:val="00673F59"/>
    <w:rsid w:val="00674A7A"/>
    <w:rsid w:val="00675130"/>
    <w:rsid w:val="00675669"/>
    <w:rsid w:val="0067587B"/>
    <w:rsid w:val="00675CE6"/>
    <w:rsid w:val="00676123"/>
    <w:rsid w:val="00676DB1"/>
    <w:rsid w:val="00680CB2"/>
    <w:rsid w:val="00680DAB"/>
    <w:rsid w:val="0068247F"/>
    <w:rsid w:val="00683D05"/>
    <w:rsid w:val="00684B7C"/>
    <w:rsid w:val="006855B2"/>
    <w:rsid w:val="00686A44"/>
    <w:rsid w:val="00686BDD"/>
    <w:rsid w:val="0069071A"/>
    <w:rsid w:val="00690F86"/>
    <w:rsid w:val="006917B0"/>
    <w:rsid w:val="00692A13"/>
    <w:rsid w:val="00692BAA"/>
    <w:rsid w:val="00692CBB"/>
    <w:rsid w:val="006932EB"/>
    <w:rsid w:val="0069375E"/>
    <w:rsid w:val="0069382D"/>
    <w:rsid w:val="00694443"/>
    <w:rsid w:val="006950FF"/>
    <w:rsid w:val="0069536D"/>
    <w:rsid w:val="00695599"/>
    <w:rsid w:val="00695A5F"/>
    <w:rsid w:val="00696A01"/>
    <w:rsid w:val="006A020E"/>
    <w:rsid w:val="006A0D1C"/>
    <w:rsid w:val="006A10E4"/>
    <w:rsid w:val="006A1E8A"/>
    <w:rsid w:val="006A2245"/>
    <w:rsid w:val="006A22DC"/>
    <w:rsid w:val="006A24FD"/>
    <w:rsid w:val="006A2829"/>
    <w:rsid w:val="006A28D8"/>
    <w:rsid w:val="006A2EED"/>
    <w:rsid w:val="006A3670"/>
    <w:rsid w:val="006A466D"/>
    <w:rsid w:val="006A679E"/>
    <w:rsid w:val="006A7556"/>
    <w:rsid w:val="006A788C"/>
    <w:rsid w:val="006A7A1E"/>
    <w:rsid w:val="006A7C36"/>
    <w:rsid w:val="006A7C65"/>
    <w:rsid w:val="006A7DFE"/>
    <w:rsid w:val="006B0485"/>
    <w:rsid w:val="006B0510"/>
    <w:rsid w:val="006B071B"/>
    <w:rsid w:val="006B133C"/>
    <w:rsid w:val="006B340D"/>
    <w:rsid w:val="006B3A7F"/>
    <w:rsid w:val="006B3BD2"/>
    <w:rsid w:val="006B40AB"/>
    <w:rsid w:val="006B4155"/>
    <w:rsid w:val="006B4387"/>
    <w:rsid w:val="006B4625"/>
    <w:rsid w:val="006B4817"/>
    <w:rsid w:val="006B6275"/>
    <w:rsid w:val="006B7C7B"/>
    <w:rsid w:val="006C0D2C"/>
    <w:rsid w:val="006C11D4"/>
    <w:rsid w:val="006C1883"/>
    <w:rsid w:val="006C1CB8"/>
    <w:rsid w:val="006C2138"/>
    <w:rsid w:val="006C320A"/>
    <w:rsid w:val="006C35F8"/>
    <w:rsid w:val="006C38D6"/>
    <w:rsid w:val="006C4ACA"/>
    <w:rsid w:val="006C4B65"/>
    <w:rsid w:val="006C56E0"/>
    <w:rsid w:val="006C592F"/>
    <w:rsid w:val="006C593A"/>
    <w:rsid w:val="006C5BDD"/>
    <w:rsid w:val="006C5C02"/>
    <w:rsid w:val="006C5D6A"/>
    <w:rsid w:val="006C62B1"/>
    <w:rsid w:val="006D050D"/>
    <w:rsid w:val="006D05F8"/>
    <w:rsid w:val="006D0B5A"/>
    <w:rsid w:val="006D1520"/>
    <w:rsid w:val="006D170B"/>
    <w:rsid w:val="006D271D"/>
    <w:rsid w:val="006D31F0"/>
    <w:rsid w:val="006D31F7"/>
    <w:rsid w:val="006D3C0C"/>
    <w:rsid w:val="006D4CCF"/>
    <w:rsid w:val="006D659A"/>
    <w:rsid w:val="006D6BB0"/>
    <w:rsid w:val="006D734D"/>
    <w:rsid w:val="006D7502"/>
    <w:rsid w:val="006E00D7"/>
    <w:rsid w:val="006E033B"/>
    <w:rsid w:val="006E0544"/>
    <w:rsid w:val="006E07B4"/>
    <w:rsid w:val="006E0FA1"/>
    <w:rsid w:val="006E2481"/>
    <w:rsid w:val="006E2663"/>
    <w:rsid w:val="006E277A"/>
    <w:rsid w:val="006E28E6"/>
    <w:rsid w:val="006E2A70"/>
    <w:rsid w:val="006E2CC5"/>
    <w:rsid w:val="006E3969"/>
    <w:rsid w:val="006E5079"/>
    <w:rsid w:val="006E5DC7"/>
    <w:rsid w:val="006E6342"/>
    <w:rsid w:val="006E69DB"/>
    <w:rsid w:val="006E7031"/>
    <w:rsid w:val="006F0452"/>
    <w:rsid w:val="006F0A77"/>
    <w:rsid w:val="006F1230"/>
    <w:rsid w:val="006F1EF5"/>
    <w:rsid w:val="006F2A5A"/>
    <w:rsid w:val="006F3024"/>
    <w:rsid w:val="006F310D"/>
    <w:rsid w:val="006F4A5C"/>
    <w:rsid w:val="006F53D0"/>
    <w:rsid w:val="006F6371"/>
    <w:rsid w:val="006F6408"/>
    <w:rsid w:val="006F669F"/>
    <w:rsid w:val="006F6D63"/>
    <w:rsid w:val="006F768D"/>
    <w:rsid w:val="006F79E5"/>
    <w:rsid w:val="007005D0"/>
    <w:rsid w:val="0070101E"/>
    <w:rsid w:val="007010EC"/>
    <w:rsid w:val="00702399"/>
    <w:rsid w:val="007034D3"/>
    <w:rsid w:val="0070362B"/>
    <w:rsid w:val="00704464"/>
    <w:rsid w:val="00704BC6"/>
    <w:rsid w:val="00705281"/>
    <w:rsid w:val="007056D4"/>
    <w:rsid w:val="007061D1"/>
    <w:rsid w:val="0070627B"/>
    <w:rsid w:val="00707627"/>
    <w:rsid w:val="007076C3"/>
    <w:rsid w:val="00710CC2"/>
    <w:rsid w:val="00711CF3"/>
    <w:rsid w:val="00713080"/>
    <w:rsid w:val="007130CA"/>
    <w:rsid w:val="007133FF"/>
    <w:rsid w:val="00714AC3"/>
    <w:rsid w:val="00714D60"/>
    <w:rsid w:val="007151FC"/>
    <w:rsid w:val="00715685"/>
    <w:rsid w:val="0071573F"/>
    <w:rsid w:val="0071656C"/>
    <w:rsid w:val="00717227"/>
    <w:rsid w:val="0071743B"/>
    <w:rsid w:val="007178FE"/>
    <w:rsid w:val="00720BBD"/>
    <w:rsid w:val="00721400"/>
    <w:rsid w:val="00721542"/>
    <w:rsid w:val="00722835"/>
    <w:rsid w:val="0072433C"/>
    <w:rsid w:val="00724D40"/>
    <w:rsid w:val="00726C35"/>
    <w:rsid w:val="00727167"/>
    <w:rsid w:val="0072743F"/>
    <w:rsid w:val="00727AA3"/>
    <w:rsid w:val="00727CA4"/>
    <w:rsid w:val="00727D96"/>
    <w:rsid w:val="00730354"/>
    <w:rsid w:val="00730A66"/>
    <w:rsid w:val="007311BD"/>
    <w:rsid w:val="007313AB"/>
    <w:rsid w:val="0073162C"/>
    <w:rsid w:val="00731C07"/>
    <w:rsid w:val="007326D3"/>
    <w:rsid w:val="00732812"/>
    <w:rsid w:val="007329CE"/>
    <w:rsid w:val="00732C0D"/>
    <w:rsid w:val="00732CFA"/>
    <w:rsid w:val="007331D0"/>
    <w:rsid w:val="00733880"/>
    <w:rsid w:val="00734113"/>
    <w:rsid w:val="00734F62"/>
    <w:rsid w:val="007368F9"/>
    <w:rsid w:val="00736B07"/>
    <w:rsid w:val="007377B2"/>
    <w:rsid w:val="007378F0"/>
    <w:rsid w:val="00740561"/>
    <w:rsid w:val="00740C6B"/>
    <w:rsid w:val="00740D8C"/>
    <w:rsid w:val="00740E56"/>
    <w:rsid w:val="00741895"/>
    <w:rsid w:val="00742CB7"/>
    <w:rsid w:val="007435F2"/>
    <w:rsid w:val="00743688"/>
    <w:rsid w:val="007445C6"/>
    <w:rsid w:val="00744A0F"/>
    <w:rsid w:val="007452AE"/>
    <w:rsid w:val="00745322"/>
    <w:rsid w:val="0074572A"/>
    <w:rsid w:val="007459AB"/>
    <w:rsid w:val="00745A46"/>
    <w:rsid w:val="00745EF1"/>
    <w:rsid w:val="00746262"/>
    <w:rsid w:val="0074725D"/>
    <w:rsid w:val="007478BB"/>
    <w:rsid w:val="00747B56"/>
    <w:rsid w:val="00747BCE"/>
    <w:rsid w:val="0075108E"/>
    <w:rsid w:val="00751163"/>
    <w:rsid w:val="007515DA"/>
    <w:rsid w:val="0075288E"/>
    <w:rsid w:val="00753026"/>
    <w:rsid w:val="0075389D"/>
    <w:rsid w:val="00753A4D"/>
    <w:rsid w:val="00753E38"/>
    <w:rsid w:val="00753F5F"/>
    <w:rsid w:val="00754059"/>
    <w:rsid w:val="00754712"/>
    <w:rsid w:val="00755F94"/>
    <w:rsid w:val="0075600E"/>
    <w:rsid w:val="0075603F"/>
    <w:rsid w:val="0075620C"/>
    <w:rsid w:val="0075662E"/>
    <w:rsid w:val="007609AD"/>
    <w:rsid w:val="00761C2B"/>
    <w:rsid w:val="00761FF5"/>
    <w:rsid w:val="007623A6"/>
    <w:rsid w:val="007623AA"/>
    <w:rsid w:val="00763D7C"/>
    <w:rsid w:val="007641E3"/>
    <w:rsid w:val="007642AF"/>
    <w:rsid w:val="007648A1"/>
    <w:rsid w:val="007649AE"/>
    <w:rsid w:val="007652CF"/>
    <w:rsid w:val="00765386"/>
    <w:rsid w:val="00765C5B"/>
    <w:rsid w:val="00766224"/>
    <w:rsid w:val="00766CEA"/>
    <w:rsid w:val="00767A04"/>
    <w:rsid w:val="00767AEB"/>
    <w:rsid w:val="007703CB"/>
    <w:rsid w:val="00771AD1"/>
    <w:rsid w:val="00771C5B"/>
    <w:rsid w:val="00772330"/>
    <w:rsid w:val="00772E74"/>
    <w:rsid w:val="0077342F"/>
    <w:rsid w:val="007735E2"/>
    <w:rsid w:val="007738F8"/>
    <w:rsid w:val="00773EA5"/>
    <w:rsid w:val="00774A79"/>
    <w:rsid w:val="00775419"/>
    <w:rsid w:val="007755AE"/>
    <w:rsid w:val="00775C58"/>
    <w:rsid w:val="00776D71"/>
    <w:rsid w:val="00776FFB"/>
    <w:rsid w:val="00780248"/>
    <w:rsid w:val="007805A0"/>
    <w:rsid w:val="00780E78"/>
    <w:rsid w:val="00781A7B"/>
    <w:rsid w:val="00783782"/>
    <w:rsid w:val="00783966"/>
    <w:rsid w:val="00783C2E"/>
    <w:rsid w:val="007868C8"/>
    <w:rsid w:val="0078726E"/>
    <w:rsid w:val="007874F4"/>
    <w:rsid w:val="007878E6"/>
    <w:rsid w:val="00790CD8"/>
    <w:rsid w:val="00791231"/>
    <w:rsid w:val="00791581"/>
    <w:rsid w:val="007924D0"/>
    <w:rsid w:val="00792F01"/>
    <w:rsid w:val="00793647"/>
    <w:rsid w:val="00793E5B"/>
    <w:rsid w:val="007952DD"/>
    <w:rsid w:val="00795BFC"/>
    <w:rsid w:val="00796708"/>
    <w:rsid w:val="007967AE"/>
    <w:rsid w:val="00796C2E"/>
    <w:rsid w:val="00796D8C"/>
    <w:rsid w:val="00797227"/>
    <w:rsid w:val="007977DD"/>
    <w:rsid w:val="00797FAA"/>
    <w:rsid w:val="007A0E01"/>
    <w:rsid w:val="007A12EE"/>
    <w:rsid w:val="007A1627"/>
    <w:rsid w:val="007A2E91"/>
    <w:rsid w:val="007A3A98"/>
    <w:rsid w:val="007A3D0A"/>
    <w:rsid w:val="007A3E60"/>
    <w:rsid w:val="007A44D1"/>
    <w:rsid w:val="007A455D"/>
    <w:rsid w:val="007A4AB2"/>
    <w:rsid w:val="007A4C05"/>
    <w:rsid w:val="007A69F7"/>
    <w:rsid w:val="007A6DE2"/>
    <w:rsid w:val="007A78E1"/>
    <w:rsid w:val="007A7AAA"/>
    <w:rsid w:val="007A7CFA"/>
    <w:rsid w:val="007A7E5E"/>
    <w:rsid w:val="007B0457"/>
    <w:rsid w:val="007B07DA"/>
    <w:rsid w:val="007B0837"/>
    <w:rsid w:val="007B100B"/>
    <w:rsid w:val="007B1B9C"/>
    <w:rsid w:val="007B1BD0"/>
    <w:rsid w:val="007B1C66"/>
    <w:rsid w:val="007B224B"/>
    <w:rsid w:val="007B25BD"/>
    <w:rsid w:val="007B2B93"/>
    <w:rsid w:val="007B4B84"/>
    <w:rsid w:val="007B594B"/>
    <w:rsid w:val="007B6991"/>
    <w:rsid w:val="007B6B83"/>
    <w:rsid w:val="007B79CA"/>
    <w:rsid w:val="007C0FDB"/>
    <w:rsid w:val="007C21CF"/>
    <w:rsid w:val="007C23C9"/>
    <w:rsid w:val="007C3306"/>
    <w:rsid w:val="007C5CA5"/>
    <w:rsid w:val="007C6A9A"/>
    <w:rsid w:val="007C7960"/>
    <w:rsid w:val="007C7E21"/>
    <w:rsid w:val="007D0518"/>
    <w:rsid w:val="007D0A4B"/>
    <w:rsid w:val="007D1070"/>
    <w:rsid w:val="007D1584"/>
    <w:rsid w:val="007D1797"/>
    <w:rsid w:val="007D29FB"/>
    <w:rsid w:val="007D32DB"/>
    <w:rsid w:val="007D4E81"/>
    <w:rsid w:val="007D4E8C"/>
    <w:rsid w:val="007D59DC"/>
    <w:rsid w:val="007D5BB4"/>
    <w:rsid w:val="007D6599"/>
    <w:rsid w:val="007D71E2"/>
    <w:rsid w:val="007D73DB"/>
    <w:rsid w:val="007D7D65"/>
    <w:rsid w:val="007E0FD4"/>
    <w:rsid w:val="007E1B2F"/>
    <w:rsid w:val="007E2A62"/>
    <w:rsid w:val="007E2CB2"/>
    <w:rsid w:val="007E2FF3"/>
    <w:rsid w:val="007E3021"/>
    <w:rsid w:val="007E3948"/>
    <w:rsid w:val="007E3A70"/>
    <w:rsid w:val="007E45BE"/>
    <w:rsid w:val="007E4665"/>
    <w:rsid w:val="007E4C51"/>
    <w:rsid w:val="007E4DA8"/>
    <w:rsid w:val="007E53F6"/>
    <w:rsid w:val="007E5D2B"/>
    <w:rsid w:val="007E5DAA"/>
    <w:rsid w:val="007E672D"/>
    <w:rsid w:val="007F103F"/>
    <w:rsid w:val="007F2CD8"/>
    <w:rsid w:val="007F3556"/>
    <w:rsid w:val="007F398A"/>
    <w:rsid w:val="007F3C6B"/>
    <w:rsid w:val="007F4077"/>
    <w:rsid w:val="007F4634"/>
    <w:rsid w:val="007F52DB"/>
    <w:rsid w:val="007F5DCD"/>
    <w:rsid w:val="007F6918"/>
    <w:rsid w:val="007F7625"/>
    <w:rsid w:val="007F7862"/>
    <w:rsid w:val="00800DB6"/>
    <w:rsid w:val="00801DAE"/>
    <w:rsid w:val="00802740"/>
    <w:rsid w:val="00803A98"/>
    <w:rsid w:val="00804058"/>
    <w:rsid w:val="0080466F"/>
    <w:rsid w:val="00804C49"/>
    <w:rsid w:val="00806B41"/>
    <w:rsid w:val="00806EF0"/>
    <w:rsid w:val="00807105"/>
    <w:rsid w:val="00811690"/>
    <w:rsid w:val="00811FDE"/>
    <w:rsid w:val="00812827"/>
    <w:rsid w:val="00813013"/>
    <w:rsid w:val="00813467"/>
    <w:rsid w:val="008134D3"/>
    <w:rsid w:val="00814B4D"/>
    <w:rsid w:val="00814F84"/>
    <w:rsid w:val="00816D46"/>
    <w:rsid w:val="00816D86"/>
    <w:rsid w:val="008175F8"/>
    <w:rsid w:val="008176BE"/>
    <w:rsid w:val="00817D9E"/>
    <w:rsid w:val="008205D2"/>
    <w:rsid w:val="008205EB"/>
    <w:rsid w:val="00822356"/>
    <w:rsid w:val="0082235D"/>
    <w:rsid w:val="00823112"/>
    <w:rsid w:val="00824652"/>
    <w:rsid w:val="00824B9D"/>
    <w:rsid w:val="0082614E"/>
    <w:rsid w:val="00826F38"/>
    <w:rsid w:val="00827890"/>
    <w:rsid w:val="00827B9B"/>
    <w:rsid w:val="00827DB2"/>
    <w:rsid w:val="00830367"/>
    <w:rsid w:val="0083085B"/>
    <w:rsid w:val="00830905"/>
    <w:rsid w:val="00830E66"/>
    <w:rsid w:val="00831616"/>
    <w:rsid w:val="00831797"/>
    <w:rsid w:val="00831BD4"/>
    <w:rsid w:val="00831F69"/>
    <w:rsid w:val="00832050"/>
    <w:rsid w:val="0083238F"/>
    <w:rsid w:val="0083248C"/>
    <w:rsid w:val="00832C27"/>
    <w:rsid w:val="0083338E"/>
    <w:rsid w:val="00834F34"/>
    <w:rsid w:val="0083533C"/>
    <w:rsid w:val="0083577B"/>
    <w:rsid w:val="008357D9"/>
    <w:rsid w:val="00835C3A"/>
    <w:rsid w:val="00835EB6"/>
    <w:rsid w:val="008364CF"/>
    <w:rsid w:val="00837847"/>
    <w:rsid w:val="008379F3"/>
    <w:rsid w:val="008402FC"/>
    <w:rsid w:val="00840AD0"/>
    <w:rsid w:val="00840D5E"/>
    <w:rsid w:val="00841705"/>
    <w:rsid w:val="00841A3A"/>
    <w:rsid w:val="008422D7"/>
    <w:rsid w:val="00842AB6"/>
    <w:rsid w:val="0084303B"/>
    <w:rsid w:val="00843083"/>
    <w:rsid w:val="008431DF"/>
    <w:rsid w:val="008435D7"/>
    <w:rsid w:val="008442A9"/>
    <w:rsid w:val="00845B20"/>
    <w:rsid w:val="008464F3"/>
    <w:rsid w:val="008467AF"/>
    <w:rsid w:val="0084682D"/>
    <w:rsid w:val="008471B5"/>
    <w:rsid w:val="00847264"/>
    <w:rsid w:val="008478FB"/>
    <w:rsid w:val="00847D4A"/>
    <w:rsid w:val="00847DDE"/>
    <w:rsid w:val="008503B1"/>
    <w:rsid w:val="00850AB1"/>
    <w:rsid w:val="008518BC"/>
    <w:rsid w:val="008523A7"/>
    <w:rsid w:val="00852B86"/>
    <w:rsid w:val="00853118"/>
    <w:rsid w:val="008537E5"/>
    <w:rsid w:val="008539B8"/>
    <w:rsid w:val="00853BA8"/>
    <w:rsid w:val="00853C82"/>
    <w:rsid w:val="00853FFF"/>
    <w:rsid w:val="008547C7"/>
    <w:rsid w:val="008548E7"/>
    <w:rsid w:val="00854C2A"/>
    <w:rsid w:val="008552F1"/>
    <w:rsid w:val="008557FC"/>
    <w:rsid w:val="00855A5D"/>
    <w:rsid w:val="00855D27"/>
    <w:rsid w:val="00856395"/>
    <w:rsid w:val="008564FF"/>
    <w:rsid w:val="00856CC5"/>
    <w:rsid w:val="00856E4E"/>
    <w:rsid w:val="008578FE"/>
    <w:rsid w:val="00857A44"/>
    <w:rsid w:val="0086007A"/>
    <w:rsid w:val="008602C4"/>
    <w:rsid w:val="008603A1"/>
    <w:rsid w:val="008610EA"/>
    <w:rsid w:val="008617B4"/>
    <w:rsid w:val="00861BF3"/>
    <w:rsid w:val="008621A6"/>
    <w:rsid w:val="00862766"/>
    <w:rsid w:val="008628D2"/>
    <w:rsid w:val="00863A03"/>
    <w:rsid w:val="0086452A"/>
    <w:rsid w:val="00864F2C"/>
    <w:rsid w:val="00865ABB"/>
    <w:rsid w:val="00866036"/>
    <w:rsid w:val="008660D9"/>
    <w:rsid w:val="008662F2"/>
    <w:rsid w:val="008670EA"/>
    <w:rsid w:val="008703E0"/>
    <w:rsid w:val="00870533"/>
    <w:rsid w:val="00870C7B"/>
    <w:rsid w:val="00870EC7"/>
    <w:rsid w:val="00871345"/>
    <w:rsid w:val="008717EA"/>
    <w:rsid w:val="00871DF8"/>
    <w:rsid w:val="00871E29"/>
    <w:rsid w:val="008725E2"/>
    <w:rsid w:val="008738C0"/>
    <w:rsid w:val="00873AE4"/>
    <w:rsid w:val="00874755"/>
    <w:rsid w:val="00874D70"/>
    <w:rsid w:val="00875452"/>
    <w:rsid w:val="00875A86"/>
    <w:rsid w:val="00875D00"/>
    <w:rsid w:val="008774A8"/>
    <w:rsid w:val="00877964"/>
    <w:rsid w:val="008801AF"/>
    <w:rsid w:val="00880A31"/>
    <w:rsid w:val="00881547"/>
    <w:rsid w:val="00883214"/>
    <w:rsid w:val="00883E35"/>
    <w:rsid w:val="00884291"/>
    <w:rsid w:val="008844BC"/>
    <w:rsid w:val="008846FB"/>
    <w:rsid w:val="00885100"/>
    <w:rsid w:val="00886024"/>
    <w:rsid w:val="008863EF"/>
    <w:rsid w:val="00890D8F"/>
    <w:rsid w:val="00890DAA"/>
    <w:rsid w:val="00890DEB"/>
    <w:rsid w:val="0089143C"/>
    <w:rsid w:val="0089165D"/>
    <w:rsid w:val="008918FD"/>
    <w:rsid w:val="00891A89"/>
    <w:rsid w:val="008922F7"/>
    <w:rsid w:val="0089289D"/>
    <w:rsid w:val="00892B60"/>
    <w:rsid w:val="0089452D"/>
    <w:rsid w:val="00894A8F"/>
    <w:rsid w:val="008963A2"/>
    <w:rsid w:val="00896F39"/>
    <w:rsid w:val="008979C5"/>
    <w:rsid w:val="00897AA6"/>
    <w:rsid w:val="00897ACD"/>
    <w:rsid w:val="00897DB7"/>
    <w:rsid w:val="00897EC6"/>
    <w:rsid w:val="008A0089"/>
    <w:rsid w:val="008A18A9"/>
    <w:rsid w:val="008A201C"/>
    <w:rsid w:val="008A2599"/>
    <w:rsid w:val="008A2A28"/>
    <w:rsid w:val="008A2FF6"/>
    <w:rsid w:val="008A320E"/>
    <w:rsid w:val="008A3259"/>
    <w:rsid w:val="008A3673"/>
    <w:rsid w:val="008A3C10"/>
    <w:rsid w:val="008A58BE"/>
    <w:rsid w:val="008A5B3A"/>
    <w:rsid w:val="008A6383"/>
    <w:rsid w:val="008A6D49"/>
    <w:rsid w:val="008A771E"/>
    <w:rsid w:val="008A79B2"/>
    <w:rsid w:val="008B1381"/>
    <w:rsid w:val="008B1C06"/>
    <w:rsid w:val="008B1CA5"/>
    <w:rsid w:val="008B1ED6"/>
    <w:rsid w:val="008B2358"/>
    <w:rsid w:val="008B2554"/>
    <w:rsid w:val="008B2952"/>
    <w:rsid w:val="008B3A79"/>
    <w:rsid w:val="008B3AB5"/>
    <w:rsid w:val="008B5058"/>
    <w:rsid w:val="008B59FE"/>
    <w:rsid w:val="008B721E"/>
    <w:rsid w:val="008B7DFF"/>
    <w:rsid w:val="008C04EB"/>
    <w:rsid w:val="008C0605"/>
    <w:rsid w:val="008C09E9"/>
    <w:rsid w:val="008C0DA2"/>
    <w:rsid w:val="008C12E7"/>
    <w:rsid w:val="008C1BA9"/>
    <w:rsid w:val="008C1D70"/>
    <w:rsid w:val="008C1D9B"/>
    <w:rsid w:val="008C2683"/>
    <w:rsid w:val="008C2AA7"/>
    <w:rsid w:val="008C3B7C"/>
    <w:rsid w:val="008C3D68"/>
    <w:rsid w:val="008C3F49"/>
    <w:rsid w:val="008C441E"/>
    <w:rsid w:val="008C4513"/>
    <w:rsid w:val="008C476F"/>
    <w:rsid w:val="008C5318"/>
    <w:rsid w:val="008C54D9"/>
    <w:rsid w:val="008C5B3D"/>
    <w:rsid w:val="008C5BE3"/>
    <w:rsid w:val="008C6EF5"/>
    <w:rsid w:val="008C7DD0"/>
    <w:rsid w:val="008D0100"/>
    <w:rsid w:val="008D05B2"/>
    <w:rsid w:val="008D0894"/>
    <w:rsid w:val="008D10D8"/>
    <w:rsid w:val="008D1A13"/>
    <w:rsid w:val="008D1BC6"/>
    <w:rsid w:val="008D1D6C"/>
    <w:rsid w:val="008D2DA2"/>
    <w:rsid w:val="008D33EF"/>
    <w:rsid w:val="008D3539"/>
    <w:rsid w:val="008D3856"/>
    <w:rsid w:val="008D40C8"/>
    <w:rsid w:val="008D431D"/>
    <w:rsid w:val="008D4C9B"/>
    <w:rsid w:val="008D525D"/>
    <w:rsid w:val="008D6732"/>
    <w:rsid w:val="008D6E4E"/>
    <w:rsid w:val="008D6F80"/>
    <w:rsid w:val="008D7F73"/>
    <w:rsid w:val="008E193D"/>
    <w:rsid w:val="008E1D45"/>
    <w:rsid w:val="008E1D58"/>
    <w:rsid w:val="008E2606"/>
    <w:rsid w:val="008E3A57"/>
    <w:rsid w:val="008E3B1F"/>
    <w:rsid w:val="008E417E"/>
    <w:rsid w:val="008E44E5"/>
    <w:rsid w:val="008E4714"/>
    <w:rsid w:val="008E55B5"/>
    <w:rsid w:val="008E5C48"/>
    <w:rsid w:val="008E5F8D"/>
    <w:rsid w:val="008E5FE3"/>
    <w:rsid w:val="008E65FE"/>
    <w:rsid w:val="008E6648"/>
    <w:rsid w:val="008E6A6A"/>
    <w:rsid w:val="008F0E32"/>
    <w:rsid w:val="008F1537"/>
    <w:rsid w:val="008F3D85"/>
    <w:rsid w:val="008F3EA2"/>
    <w:rsid w:val="008F4512"/>
    <w:rsid w:val="008F497B"/>
    <w:rsid w:val="008F4E76"/>
    <w:rsid w:val="008F4EB4"/>
    <w:rsid w:val="008F51BE"/>
    <w:rsid w:val="008F5E79"/>
    <w:rsid w:val="008F5EBC"/>
    <w:rsid w:val="008F5FEA"/>
    <w:rsid w:val="008F72DA"/>
    <w:rsid w:val="008F76A0"/>
    <w:rsid w:val="008F77B8"/>
    <w:rsid w:val="008F7A63"/>
    <w:rsid w:val="0090067A"/>
    <w:rsid w:val="00900920"/>
    <w:rsid w:val="00900D8D"/>
    <w:rsid w:val="0090120E"/>
    <w:rsid w:val="009017BB"/>
    <w:rsid w:val="00901ABE"/>
    <w:rsid w:val="00901BC5"/>
    <w:rsid w:val="009025F6"/>
    <w:rsid w:val="00902A77"/>
    <w:rsid w:val="0090326E"/>
    <w:rsid w:val="009046B8"/>
    <w:rsid w:val="009050B9"/>
    <w:rsid w:val="0090562F"/>
    <w:rsid w:val="009060D7"/>
    <w:rsid w:val="0090689B"/>
    <w:rsid w:val="00907BCA"/>
    <w:rsid w:val="00907E0A"/>
    <w:rsid w:val="00907FDD"/>
    <w:rsid w:val="009109CB"/>
    <w:rsid w:val="00911192"/>
    <w:rsid w:val="00911EC0"/>
    <w:rsid w:val="009123FB"/>
    <w:rsid w:val="009130E2"/>
    <w:rsid w:val="009135CF"/>
    <w:rsid w:val="00913F02"/>
    <w:rsid w:val="0091474D"/>
    <w:rsid w:val="00915051"/>
    <w:rsid w:val="00915605"/>
    <w:rsid w:val="009160A5"/>
    <w:rsid w:val="009160E4"/>
    <w:rsid w:val="009163D8"/>
    <w:rsid w:val="0091745D"/>
    <w:rsid w:val="00917918"/>
    <w:rsid w:val="00917DE0"/>
    <w:rsid w:val="00917EEF"/>
    <w:rsid w:val="00920068"/>
    <w:rsid w:val="00920B5E"/>
    <w:rsid w:val="0092100C"/>
    <w:rsid w:val="0092130A"/>
    <w:rsid w:val="00921A70"/>
    <w:rsid w:val="0092272F"/>
    <w:rsid w:val="009235A8"/>
    <w:rsid w:val="009238F2"/>
    <w:rsid w:val="00924A97"/>
    <w:rsid w:val="00924F80"/>
    <w:rsid w:val="00925D2F"/>
    <w:rsid w:val="0092617C"/>
    <w:rsid w:val="009264B8"/>
    <w:rsid w:val="00926509"/>
    <w:rsid w:val="00926BFB"/>
    <w:rsid w:val="00926E38"/>
    <w:rsid w:val="0092791B"/>
    <w:rsid w:val="00927E6F"/>
    <w:rsid w:val="00930AC6"/>
    <w:rsid w:val="00930FB3"/>
    <w:rsid w:val="00931127"/>
    <w:rsid w:val="009316DE"/>
    <w:rsid w:val="00932098"/>
    <w:rsid w:val="00933E14"/>
    <w:rsid w:val="00934A97"/>
    <w:rsid w:val="00934BB5"/>
    <w:rsid w:val="00934D1A"/>
    <w:rsid w:val="00935DDD"/>
    <w:rsid w:val="00935EF5"/>
    <w:rsid w:val="009362CF"/>
    <w:rsid w:val="0093637E"/>
    <w:rsid w:val="009363C6"/>
    <w:rsid w:val="00936529"/>
    <w:rsid w:val="00937657"/>
    <w:rsid w:val="00937DF5"/>
    <w:rsid w:val="0094002D"/>
    <w:rsid w:val="00940DD8"/>
    <w:rsid w:val="00942678"/>
    <w:rsid w:val="00942A3B"/>
    <w:rsid w:val="009434A1"/>
    <w:rsid w:val="00944324"/>
    <w:rsid w:val="00944A63"/>
    <w:rsid w:val="00944F1E"/>
    <w:rsid w:val="00945DD0"/>
    <w:rsid w:val="0094696A"/>
    <w:rsid w:val="00946CEE"/>
    <w:rsid w:val="00947026"/>
    <w:rsid w:val="0094762D"/>
    <w:rsid w:val="00947F61"/>
    <w:rsid w:val="00951AC6"/>
    <w:rsid w:val="0095205E"/>
    <w:rsid w:val="00952FD8"/>
    <w:rsid w:val="00954115"/>
    <w:rsid w:val="009543E7"/>
    <w:rsid w:val="00954A67"/>
    <w:rsid w:val="00954B4D"/>
    <w:rsid w:val="00955F74"/>
    <w:rsid w:val="00956144"/>
    <w:rsid w:val="00957817"/>
    <w:rsid w:val="009604CA"/>
    <w:rsid w:val="009606DC"/>
    <w:rsid w:val="00960937"/>
    <w:rsid w:val="00960E69"/>
    <w:rsid w:val="009615E8"/>
    <w:rsid w:val="00961811"/>
    <w:rsid w:val="00961848"/>
    <w:rsid w:val="00961955"/>
    <w:rsid w:val="00963206"/>
    <w:rsid w:val="009633E3"/>
    <w:rsid w:val="00963786"/>
    <w:rsid w:val="0096381C"/>
    <w:rsid w:val="0096454C"/>
    <w:rsid w:val="00965066"/>
    <w:rsid w:val="009653C4"/>
    <w:rsid w:val="00965F34"/>
    <w:rsid w:val="00970400"/>
    <w:rsid w:val="009704B1"/>
    <w:rsid w:val="00971C1E"/>
    <w:rsid w:val="009721A0"/>
    <w:rsid w:val="009722D7"/>
    <w:rsid w:val="0097399B"/>
    <w:rsid w:val="0097425D"/>
    <w:rsid w:val="00974926"/>
    <w:rsid w:val="00974A2B"/>
    <w:rsid w:val="00974CDB"/>
    <w:rsid w:val="00974EBC"/>
    <w:rsid w:val="00975589"/>
    <w:rsid w:val="0097603C"/>
    <w:rsid w:val="009801CA"/>
    <w:rsid w:val="0098024F"/>
    <w:rsid w:val="0098059E"/>
    <w:rsid w:val="00980923"/>
    <w:rsid w:val="00980A87"/>
    <w:rsid w:val="009810D3"/>
    <w:rsid w:val="009814DD"/>
    <w:rsid w:val="00981D22"/>
    <w:rsid w:val="00982B24"/>
    <w:rsid w:val="0098348A"/>
    <w:rsid w:val="009838A0"/>
    <w:rsid w:val="00983ABD"/>
    <w:rsid w:val="00984490"/>
    <w:rsid w:val="0098449A"/>
    <w:rsid w:val="00984598"/>
    <w:rsid w:val="00984BE8"/>
    <w:rsid w:val="00984E5A"/>
    <w:rsid w:val="00986765"/>
    <w:rsid w:val="00986E3F"/>
    <w:rsid w:val="0098707E"/>
    <w:rsid w:val="0098747B"/>
    <w:rsid w:val="00987E71"/>
    <w:rsid w:val="00990499"/>
    <w:rsid w:val="00990D94"/>
    <w:rsid w:val="0099138E"/>
    <w:rsid w:val="00991612"/>
    <w:rsid w:val="00991C04"/>
    <w:rsid w:val="00991D5D"/>
    <w:rsid w:val="00992097"/>
    <w:rsid w:val="00992C8F"/>
    <w:rsid w:val="0099345A"/>
    <w:rsid w:val="00993648"/>
    <w:rsid w:val="00993B84"/>
    <w:rsid w:val="00993DA9"/>
    <w:rsid w:val="009941EA"/>
    <w:rsid w:val="00994376"/>
    <w:rsid w:val="00994399"/>
    <w:rsid w:val="00994588"/>
    <w:rsid w:val="00994796"/>
    <w:rsid w:val="009956CE"/>
    <w:rsid w:val="00997EF3"/>
    <w:rsid w:val="009A0C88"/>
    <w:rsid w:val="009A10DD"/>
    <w:rsid w:val="009A1DEC"/>
    <w:rsid w:val="009A2014"/>
    <w:rsid w:val="009A26C2"/>
    <w:rsid w:val="009A2A91"/>
    <w:rsid w:val="009A2EDF"/>
    <w:rsid w:val="009A3435"/>
    <w:rsid w:val="009A353A"/>
    <w:rsid w:val="009A42BE"/>
    <w:rsid w:val="009A5988"/>
    <w:rsid w:val="009A619D"/>
    <w:rsid w:val="009A63AF"/>
    <w:rsid w:val="009A7134"/>
    <w:rsid w:val="009A7C38"/>
    <w:rsid w:val="009B0424"/>
    <w:rsid w:val="009B047D"/>
    <w:rsid w:val="009B04E9"/>
    <w:rsid w:val="009B0979"/>
    <w:rsid w:val="009B0C79"/>
    <w:rsid w:val="009B1154"/>
    <w:rsid w:val="009B141F"/>
    <w:rsid w:val="009B1576"/>
    <w:rsid w:val="009B4A05"/>
    <w:rsid w:val="009B5032"/>
    <w:rsid w:val="009B54F6"/>
    <w:rsid w:val="009B599D"/>
    <w:rsid w:val="009B5D49"/>
    <w:rsid w:val="009B606B"/>
    <w:rsid w:val="009B619B"/>
    <w:rsid w:val="009B66A4"/>
    <w:rsid w:val="009B67D1"/>
    <w:rsid w:val="009B7D21"/>
    <w:rsid w:val="009C0A40"/>
    <w:rsid w:val="009C0EE3"/>
    <w:rsid w:val="009C3432"/>
    <w:rsid w:val="009C3CCA"/>
    <w:rsid w:val="009C3CE0"/>
    <w:rsid w:val="009C3D81"/>
    <w:rsid w:val="009C4F60"/>
    <w:rsid w:val="009C55E3"/>
    <w:rsid w:val="009C77AE"/>
    <w:rsid w:val="009D0A0D"/>
    <w:rsid w:val="009D0DAB"/>
    <w:rsid w:val="009D1C63"/>
    <w:rsid w:val="009D1EBD"/>
    <w:rsid w:val="009D225A"/>
    <w:rsid w:val="009D273F"/>
    <w:rsid w:val="009D29AE"/>
    <w:rsid w:val="009D2BEE"/>
    <w:rsid w:val="009D3D61"/>
    <w:rsid w:val="009D3E50"/>
    <w:rsid w:val="009D3FDF"/>
    <w:rsid w:val="009D42D7"/>
    <w:rsid w:val="009D5281"/>
    <w:rsid w:val="009D54DB"/>
    <w:rsid w:val="009D55FD"/>
    <w:rsid w:val="009D6F54"/>
    <w:rsid w:val="009D7026"/>
    <w:rsid w:val="009D71C0"/>
    <w:rsid w:val="009D76E7"/>
    <w:rsid w:val="009D78C7"/>
    <w:rsid w:val="009E0004"/>
    <w:rsid w:val="009E0825"/>
    <w:rsid w:val="009E1214"/>
    <w:rsid w:val="009E14DD"/>
    <w:rsid w:val="009E180E"/>
    <w:rsid w:val="009E19BA"/>
    <w:rsid w:val="009E1AB0"/>
    <w:rsid w:val="009E3250"/>
    <w:rsid w:val="009E52AE"/>
    <w:rsid w:val="009E6963"/>
    <w:rsid w:val="009E6B1A"/>
    <w:rsid w:val="009E700A"/>
    <w:rsid w:val="009E7037"/>
    <w:rsid w:val="009E74FE"/>
    <w:rsid w:val="009E78E9"/>
    <w:rsid w:val="009E7AFE"/>
    <w:rsid w:val="009E7FBB"/>
    <w:rsid w:val="009F0DFC"/>
    <w:rsid w:val="009F0EEE"/>
    <w:rsid w:val="009F2B51"/>
    <w:rsid w:val="009F2D15"/>
    <w:rsid w:val="009F398F"/>
    <w:rsid w:val="009F3A7C"/>
    <w:rsid w:val="009F3B5B"/>
    <w:rsid w:val="009F4C66"/>
    <w:rsid w:val="009F4D40"/>
    <w:rsid w:val="009F4DA9"/>
    <w:rsid w:val="009F5348"/>
    <w:rsid w:val="009F56EB"/>
    <w:rsid w:val="009F5E10"/>
    <w:rsid w:val="009F62A1"/>
    <w:rsid w:val="009F62B8"/>
    <w:rsid w:val="009F657C"/>
    <w:rsid w:val="009F665F"/>
    <w:rsid w:val="009F68A8"/>
    <w:rsid w:val="009F6A42"/>
    <w:rsid w:val="009F6B19"/>
    <w:rsid w:val="009F6C7E"/>
    <w:rsid w:val="009F6F9C"/>
    <w:rsid w:val="00A00116"/>
    <w:rsid w:val="00A00CC7"/>
    <w:rsid w:val="00A00F08"/>
    <w:rsid w:val="00A00FEF"/>
    <w:rsid w:val="00A0133D"/>
    <w:rsid w:val="00A018F5"/>
    <w:rsid w:val="00A01F9C"/>
    <w:rsid w:val="00A0295D"/>
    <w:rsid w:val="00A03CAE"/>
    <w:rsid w:val="00A04070"/>
    <w:rsid w:val="00A04C80"/>
    <w:rsid w:val="00A05378"/>
    <w:rsid w:val="00A05743"/>
    <w:rsid w:val="00A05747"/>
    <w:rsid w:val="00A070B1"/>
    <w:rsid w:val="00A0757F"/>
    <w:rsid w:val="00A07A24"/>
    <w:rsid w:val="00A11C7A"/>
    <w:rsid w:val="00A122DC"/>
    <w:rsid w:val="00A127EC"/>
    <w:rsid w:val="00A12D90"/>
    <w:rsid w:val="00A13083"/>
    <w:rsid w:val="00A13397"/>
    <w:rsid w:val="00A13BB2"/>
    <w:rsid w:val="00A13CAF"/>
    <w:rsid w:val="00A13CD2"/>
    <w:rsid w:val="00A13D62"/>
    <w:rsid w:val="00A14AD3"/>
    <w:rsid w:val="00A15150"/>
    <w:rsid w:val="00A15D39"/>
    <w:rsid w:val="00A15D76"/>
    <w:rsid w:val="00A165AA"/>
    <w:rsid w:val="00A1738B"/>
    <w:rsid w:val="00A1765F"/>
    <w:rsid w:val="00A17878"/>
    <w:rsid w:val="00A20FEF"/>
    <w:rsid w:val="00A217B1"/>
    <w:rsid w:val="00A21896"/>
    <w:rsid w:val="00A21D63"/>
    <w:rsid w:val="00A22A7D"/>
    <w:rsid w:val="00A22B8C"/>
    <w:rsid w:val="00A2354B"/>
    <w:rsid w:val="00A242DA"/>
    <w:rsid w:val="00A242DB"/>
    <w:rsid w:val="00A24574"/>
    <w:rsid w:val="00A251B9"/>
    <w:rsid w:val="00A25529"/>
    <w:rsid w:val="00A25606"/>
    <w:rsid w:val="00A2634D"/>
    <w:rsid w:val="00A2666B"/>
    <w:rsid w:val="00A26977"/>
    <w:rsid w:val="00A26D3A"/>
    <w:rsid w:val="00A278B3"/>
    <w:rsid w:val="00A27D4D"/>
    <w:rsid w:val="00A3063C"/>
    <w:rsid w:val="00A30A60"/>
    <w:rsid w:val="00A30AB8"/>
    <w:rsid w:val="00A30FEB"/>
    <w:rsid w:val="00A31201"/>
    <w:rsid w:val="00A328CA"/>
    <w:rsid w:val="00A32913"/>
    <w:rsid w:val="00A32FE9"/>
    <w:rsid w:val="00A334B5"/>
    <w:rsid w:val="00A33A97"/>
    <w:rsid w:val="00A33DC0"/>
    <w:rsid w:val="00A350B6"/>
    <w:rsid w:val="00A36996"/>
    <w:rsid w:val="00A36CEB"/>
    <w:rsid w:val="00A378D9"/>
    <w:rsid w:val="00A37F9E"/>
    <w:rsid w:val="00A405C5"/>
    <w:rsid w:val="00A40984"/>
    <w:rsid w:val="00A40C0C"/>
    <w:rsid w:val="00A40E86"/>
    <w:rsid w:val="00A41260"/>
    <w:rsid w:val="00A41783"/>
    <w:rsid w:val="00A41B4A"/>
    <w:rsid w:val="00A41E69"/>
    <w:rsid w:val="00A4265F"/>
    <w:rsid w:val="00A42818"/>
    <w:rsid w:val="00A428E1"/>
    <w:rsid w:val="00A42908"/>
    <w:rsid w:val="00A44686"/>
    <w:rsid w:val="00A44729"/>
    <w:rsid w:val="00A44B2E"/>
    <w:rsid w:val="00A44C35"/>
    <w:rsid w:val="00A4516E"/>
    <w:rsid w:val="00A4544C"/>
    <w:rsid w:val="00A45A73"/>
    <w:rsid w:val="00A464DE"/>
    <w:rsid w:val="00A46607"/>
    <w:rsid w:val="00A47264"/>
    <w:rsid w:val="00A47F9B"/>
    <w:rsid w:val="00A5077F"/>
    <w:rsid w:val="00A50D50"/>
    <w:rsid w:val="00A5147B"/>
    <w:rsid w:val="00A52156"/>
    <w:rsid w:val="00A543C0"/>
    <w:rsid w:val="00A554E6"/>
    <w:rsid w:val="00A5703E"/>
    <w:rsid w:val="00A57586"/>
    <w:rsid w:val="00A576A8"/>
    <w:rsid w:val="00A577B4"/>
    <w:rsid w:val="00A5BACB"/>
    <w:rsid w:val="00A60620"/>
    <w:rsid w:val="00A60C73"/>
    <w:rsid w:val="00A60DBD"/>
    <w:rsid w:val="00A6151B"/>
    <w:rsid w:val="00A6167E"/>
    <w:rsid w:val="00A61CBD"/>
    <w:rsid w:val="00A62AD3"/>
    <w:rsid w:val="00A63238"/>
    <w:rsid w:val="00A64A2B"/>
    <w:rsid w:val="00A64B61"/>
    <w:rsid w:val="00A65987"/>
    <w:rsid w:val="00A65CEC"/>
    <w:rsid w:val="00A668EF"/>
    <w:rsid w:val="00A67514"/>
    <w:rsid w:val="00A67533"/>
    <w:rsid w:val="00A704DD"/>
    <w:rsid w:val="00A70724"/>
    <w:rsid w:val="00A70858"/>
    <w:rsid w:val="00A70959"/>
    <w:rsid w:val="00A71136"/>
    <w:rsid w:val="00A716D0"/>
    <w:rsid w:val="00A72CA4"/>
    <w:rsid w:val="00A73038"/>
    <w:rsid w:val="00A73546"/>
    <w:rsid w:val="00A7393B"/>
    <w:rsid w:val="00A7406B"/>
    <w:rsid w:val="00A74B25"/>
    <w:rsid w:val="00A74C44"/>
    <w:rsid w:val="00A74EA8"/>
    <w:rsid w:val="00A75D36"/>
    <w:rsid w:val="00A75FDB"/>
    <w:rsid w:val="00A76446"/>
    <w:rsid w:val="00A764D7"/>
    <w:rsid w:val="00A7656C"/>
    <w:rsid w:val="00A76F72"/>
    <w:rsid w:val="00A76FC2"/>
    <w:rsid w:val="00A7783B"/>
    <w:rsid w:val="00A77E6A"/>
    <w:rsid w:val="00A80E46"/>
    <w:rsid w:val="00A80E70"/>
    <w:rsid w:val="00A81783"/>
    <w:rsid w:val="00A81B0A"/>
    <w:rsid w:val="00A8253B"/>
    <w:rsid w:val="00A82C1F"/>
    <w:rsid w:val="00A830A0"/>
    <w:rsid w:val="00A8359D"/>
    <w:rsid w:val="00A839D8"/>
    <w:rsid w:val="00A83DB7"/>
    <w:rsid w:val="00A83DDD"/>
    <w:rsid w:val="00A8454A"/>
    <w:rsid w:val="00A846B3"/>
    <w:rsid w:val="00A850D4"/>
    <w:rsid w:val="00A85565"/>
    <w:rsid w:val="00A86EEE"/>
    <w:rsid w:val="00A8711C"/>
    <w:rsid w:val="00A874EF"/>
    <w:rsid w:val="00A90BE9"/>
    <w:rsid w:val="00A90D3D"/>
    <w:rsid w:val="00A9139B"/>
    <w:rsid w:val="00A9168A"/>
    <w:rsid w:val="00A920E0"/>
    <w:rsid w:val="00A926BF"/>
    <w:rsid w:val="00A94756"/>
    <w:rsid w:val="00A94BAA"/>
    <w:rsid w:val="00A94FD0"/>
    <w:rsid w:val="00A95054"/>
    <w:rsid w:val="00A95256"/>
    <w:rsid w:val="00A9564D"/>
    <w:rsid w:val="00A96387"/>
    <w:rsid w:val="00A96E16"/>
    <w:rsid w:val="00AA0BC7"/>
    <w:rsid w:val="00AA0F31"/>
    <w:rsid w:val="00AA26F2"/>
    <w:rsid w:val="00AA454D"/>
    <w:rsid w:val="00AA5958"/>
    <w:rsid w:val="00AA5AB4"/>
    <w:rsid w:val="00AA5B6C"/>
    <w:rsid w:val="00AA5D19"/>
    <w:rsid w:val="00AA6055"/>
    <w:rsid w:val="00AA6A1A"/>
    <w:rsid w:val="00AA6AF1"/>
    <w:rsid w:val="00AA6AF7"/>
    <w:rsid w:val="00AA6E81"/>
    <w:rsid w:val="00AA710B"/>
    <w:rsid w:val="00AA7D4F"/>
    <w:rsid w:val="00AB00AB"/>
    <w:rsid w:val="00AB05A7"/>
    <w:rsid w:val="00AB15F8"/>
    <w:rsid w:val="00AB1F65"/>
    <w:rsid w:val="00AB26D5"/>
    <w:rsid w:val="00AB2911"/>
    <w:rsid w:val="00AB3135"/>
    <w:rsid w:val="00AB418B"/>
    <w:rsid w:val="00AB43EF"/>
    <w:rsid w:val="00AB51B2"/>
    <w:rsid w:val="00AB520C"/>
    <w:rsid w:val="00AB5E03"/>
    <w:rsid w:val="00AB6205"/>
    <w:rsid w:val="00AB7073"/>
    <w:rsid w:val="00AB7434"/>
    <w:rsid w:val="00AB7671"/>
    <w:rsid w:val="00AC02FD"/>
    <w:rsid w:val="00AC1007"/>
    <w:rsid w:val="00AC111B"/>
    <w:rsid w:val="00AC1336"/>
    <w:rsid w:val="00AC22EB"/>
    <w:rsid w:val="00AC307B"/>
    <w:rsid w:val="00AC32B1"/>
    <w:rsid w:val="00AC35F9"/>
    <w:rsid w:val="00AC48A3"/>
    <w:rsid w:val="00AC6BA2"/>
    <w:rsid w:val="00AC7C4D"/>
    <w:rsid w:val="00AD01E4"/>
    <w:rsid w:val="00AD06E1"/>
    <w:rsid w:val="00AD0E30"/>
    <w:rsid w:val="00AD1149"/>
    <w:rsid w:val="00AD1156"/>
    <w:rsid w:val="00AD14A4"/>
    <w:rsid w:val="00AD1E71"/>
    <w:rsid w:val="00AD1FAF"/>
    <w:rsid w:val="00AD22AD"/>
    <w:rsid w:val="00AD2DEE"/>
    <w:rsid w:val="00AD3339"/>
    <w:rsid w:val="00AD42F8"/>
    <w:rsid w:val="00AD47D2"/>
    <w:rsid w:val="00AD486B"/>
    <w:rsid w:val="00AD4947"/>
    <w:rsid w:val="00AD4EA7"/>
    <w:rsid w:val="00AD55D6"/>
    <w:rsid w:val="00AD659F"/>
    <w:rsid w:val="00AD6686"/>
    <w:rsid w:val="00AD6D61"/>
    <w:rsid w:val="00AE0924"/>
    <w:rsid w:val="00AE0A91"/>
    <w:rsid w:val="00AE0F43"/>
    <w:rsid w:val="00AE103E"/>
    <w:rsid w:val="00AE143A"/>
    <w:rsid w:val="00AE4AD8"/>
    <w:rsid w:val="00AE502B"/>
    <w:rsid w:val="00AE7F25"/>
    <w:rsid w:val="00AF024D"/>
    <w:rsid w:val="00AF030A"/>
    <w:rsid w:val="00AF144F"/>
    <w:rsid w:val="00AF24E6"/>
    <w:rsid w:val="00AF2F46"/>
    <w:rsid w:val="00AF3446"/>
    <w:rsid w:val="00AF39A7"/>
    <w:rsid w:val="00AF4810"/>
    <w:rsid w:val="00AF5FC8"/>
    <w:rsid w:val="00AF63C5"/>
    <w:rsid w:val="00AF6596"/>
    <w:rsid w:val="00AF70FF"/>
    <w:rsid w:val="00AF71E8"/>
    <w:rsid w:val="00AF74A7"/>
    <w:rsid w:val="00AF7A6F"/>
    <w:rsid w:val="00AF7C9A"/>
    <w:rsid w:val="00B006BE"/>
    <w:rsid w:val="00B00AEF"/>
    <w:rsid w:val="00B00E26"/>
    <w:rsid w:val="00B01234"/>
    <w:rsid w:val="00B012C9"/>
    <w:rsid w:val="00B01380"/>
    <w:rsid w:val="00B01757"/>
    <w:rsid w:val="00B02580"/>
    <w:rsid w:val="00B025D5"/>
    <w:rsid w:val="00B0377E"/>
    <w:rsid w:val="00B037FF"/>
    <w:rsid w:val="00B03D1C"/>
    <w:rsid w:val="00B0453C"/>
    <w:rsid w:val="00B054A1"/>
    <w:rsid w:val="00B05AAC"/>
    <w:rsid w:val="00B05DF6"/>
    <w:rsid w:val="00B0631F"/>
    <w:rsid w:val="00B065BA"/>
    <w:rsid w:val="00B0673F"/>
    <w:rsid w:val="00B06F46"/>
    <w:rsid w:val="00B10458"/>
    <w:rsid w:val="00B11447"/>
    <w:rsid w:val="00B11771"/>
    <w:rsid w:val="00B120B3"/>
    <w:rsid w:val="00B12796"/>
    <w:rsid w:val="00B136BD"/>
    <w:rsid w:val="00B14B59"/>
    <w:rsid w:val="00B14EB6"/>
    <w:rsid w:val="00B151FE"/>
    <w:rsid w:val="00B15654"/>
    <w:rsid w:val="00B15DD9"/>
    <w:rsid w:val="00B161BB"/>
    <w:rsid w:val="00B1630A"/>
    <w:rsid w:val="00B1682A"/>
    <w:rsid w:val="00B16C68"/>
    <w:rsid w:val="00B17DFC"/>
    <w:rsid w:val="00B17EA8"/>
    <w:rsid w:val="00B2016E"/>
    <w:rsid w:val="00B20670"/>
    <w:rsid w:val="00B2075E"/>
    <w:rsid w:val="00B21216"/>
    <w:rsid w:val="00B22B5A"/>
    <w:rsid w:val="00B230DD"/>
    <w:rsid w:val="00B2342C"/>
    <w:rsid w:val="00B235D2"/>
    <w:rsid w:val="00B239DF"/>
    <w:rsid w:val="00B23A31"/>
    <w:rsid w:val="00B23DB7"/>
    <w:rsid w:val="00B24655"/>
    <w:rsid w:val="00B24E06"/>
    <w:rsid w:val="00B26709"/>
    <w:rsid w:val="00B26F0C"/>
    <w:rsid w:val="00B27AC5"/>
    <w:rsid w:val="00B30373"/>
    <w:rsid w:val="00B3065B"/>
    <w:rsid w:val="00B30D62"/>
    <w:rsid w:val="00B30D64"/>
    <w:rsid w:val="00B31038"/>
    <w:rsid w:val="00B311DA"/>
    <w:rsid w:val="00B31291"/>
    <w:rsid w:val="00B315A5"/>
    <w:rsid w:val="00B32589"/>
    <w:rsid w:val="00B32637"/>
    <w:rsid w:val="00B32DCA"/>
    <w:rsid w:val="00B33719"/>
    <w:rsid w:val="00B34513"/>
    <w:rsid w:val="00B3455E"/>
    <w:rsid w:val="00B34C65"/>
    <w:rsid w:val="00B356D4"/>
    <w:rsid w:val="00B35847"/>
    <w:rsid w:val="00B40D04"/>
    <w:rsid w:val="00B40DD7"/>
    <w:rsid w:val="00B4137B"/>
    <w:rsid w:val="00B41681"/>
    <w:rsid w:val="00B42544"/>
    <w:rsid w:val="00B42B53"/>
    <w:rsid w:val="00B42D9F"/>
    <w:rsid w:val="00B43507"/>
    <w:rsid w:val="00B4383A"/>
    <w:rsid w:val="00B445DE"/>
    <w:rsid w:val="00B463D3"/>
    <w:rsid w:val="00B4727F"/>
    <w:rsid w:val="00B47972"/>
    <w:rsid w:val="00B47D69"/>
    <w:rsid w:val="00B50415"/>
    <w:rsid w:val="00B50C12"/>
    <w:rsid w:val="00B50C6B"/>
    <w:rsid w:val="00B5244B"/>
    <w:rsid w:val="00B5262D"/>
    <w:rsid w:val="00B53127"/>
    <w:rsid w:val="00B533AC"/>
    <w:rsid w:val="00B5374A"/>
    <w:rsid w:val="00B54961"/>
    <w:rsid w:val="00B54BE9"/>
    <w:rsid w:val="00B557DD"/>
    <w:rsid w:val="00B57663"/>
    <w:rsid w:val="00B605A9"/>
    <w:rsid w:val="00B6089B"/>
    <w:rsid w:val="00B6122D"/>
    <w:rsid w:val="00B613AF"/>
    <w:rsid w:val="00B6263B"/>
    <w:rsid w:val="00B62CC7"/>
    <w:rsid w:val="00B635D3"/>
    <w:rsid w:val="00B640F1"/>
    <w:rsid w:val="00B644EC"/>
    <w:rsid w:val="00B65C4F"/>
    <w:rsid w:val="00B65CAD"/>
    <w:rsid w:val="00B65E47"/>
    <w:rsid w:val="00B6620A"/>
    <w:rsid w:val="00B66A17"/>
    <w:rsid w:val="00B66D72"/>
    <w:rsid w:val="00B67543"/>
    <w:rsid w:val="00B6783B"/>
    <w:rsid w:val="00B67A0D"/>
    <w:rsid w:val="00B67B46"/>
    <w:rsid w:val="00B67C6E"/>
    <w:rsid w:val="00B7044D"/>
    <w:rsid w:val="00B7178C"/>
    <w:rsid w:val="00B72E7E"/>
    <w:rsid w:val="00B72FE6"/>
    <w:rsid w:val="00B7408D"/>
    <w:rsid w:val="00B74429"/>
    <w:rsid w:val="00B74DF1"/>
    <w:rsid w:val="00B752BF"/>
    <w:rsid w:val="00B75670"/>
    <w:rsid w:val="00B75E51"/>
    <w:rsid w:val="00B75F49"/>
    <w:rsid w:val="00B7648B"/>
    <w:rsid w:val="00B767C5"/>
    <w:rsid w:val="00B770E5"/>
    <w:rsid w:val="00B770EB"/>
    <w:rsid w:val="00B77AAF"/>
    <w:rsid w:val="00B77AE1"/>
    <w:rsid w:val="00B77F9D"/>
    <w:rsid w:val="00B804A6"/>
    <w:rsid w:val="00B81054"/>
    <w:rsid w:val="00B81079"/>
    <w:rsid w:val="00B81A4A"/>
    <w:rsid w:val="00B81BA3"/>
    <w:rsid w:val="00B8248F"/>
    <w:rsid w:val="00B82A86"/>
    <w:rsid w:val="00B82BEF"/>
    <w:rsid w:val="00B82ED2"/>
    <w:rsid w:val="00B83273"/>
    <w:rsid w:val="00B8446E"/>
    <w:rsid w:val="00B848D2"/>
    <w:rsid w:val="00B85A2A"/>
    <w:rsid w:val="00B86657"/>
    <w:rsid w:val="00B86E8C"/>
    <w:rsid w:val="00B87C7C"/>
    <w:rsid w:val="00B91AE2"/>
    <w:rsid w:val="00B91F45"/>
    <w:rsid w:val="00B91F9A"/>
    <w:rsid w:val="00B920A7"/>
    <w:rsid w:val="00B923D5"/>
    <w:rsid w:val="00B929BC"/>
    <w:rsid w:val="00B9318D"/>
    <w:rsid w:val="00B939F1"/>
    <w:rsid w:val="00B943A0"/>
    <w:rsid w:val="00B94408"/>
    <w:rsid w:val="00B94426"/>
    <w:rsid w:val="00B948B9"/>
    <w:rsid w:val="00B94F5C"/>
    <w:rsid w:val="00B95300"/>
    <w:rsid w:val="00B957E6"/>
    <w:rsid w:val="00B96661"/>
    <w:rsid w:val="00B967A2"/>
    <w:rsid w:val="00B96BF2"/>
    <w:rsid w:val="00B96C83"/>
    <w:rsid w:val="00B978B7"/>
    <w:rsid w:val="00B97C34"/>
    <w:rsid w:val="00BA14FC"/>
    <w:rsid w:val="00BA16BE"/>
    <w:rsid w:val="00BA20EF"/>
    <w:rsid w:val="00BA2754"/>
    <w:rsid w:val="00BA30D7"/>
    <w:rsid w:val="00BA44A4"/>
    <w:rsid w:val="00BA4574"/>
    <w:rsid w:val="00BA4793"/>
    <w:rsid w:val="00BA4B33"/>
    <w:rsid w:val="00BA4D07"/>
    <w:rsid w:val="00BA5713"/>
    <w:rsid w:val="00BA57F2"/>
    <w:rsid w:val="00BA5AB3"/>
    <w:rsid w:val="00BA6403"/>
    <w:rsid w:val="00BA69A4"/>
    <w:rsid w:val="00BA71A7"/>
    <w:rsid w:val="00BA7E51"/>
    <w:rsid w:val="00BA7FB7"/>
    <w:rsid w:val="00BA7FCF"/>
    <w:rsid w:val="00BB0144"/>
    <w:rsid w:val="00BB1597"/>
    <w:rsid w:val="00BB15C7"/>
    <w:rsid w:val="00BB1648"/>
    <w:rsid w:val="00BB38FF"/>
    <w:rsid w:val="00BB4DF4"/>
    <w:rsid w:val="00BB5087"/>
    <w:rsid w:val="00BB50AC"/>
    <w:rsid w:val="00BB53C3"/>
    <w:rsid w:val="00BB59DB"/>
    <w:rsid w:val="00BB6334"/>
    <w:rsid w:val="00BB6476"/>
    <w:rsid w:val="00BB6ADE"/>
    <w:rsid w:val="00BB7EDA"/>
    <w:rsid w:val="00BC056C"/>
    <w:rsid w:val="00BC18DA"/>
    <w:rsid w:val="00BC2208"/>
    <w:rsid w:val="00BC33B9"/>
    <w:rsid w:val="00BC40CD"/>
    <w:rsid w:val="00BC47C2"/>
    <w:rsid w:val="00BC6657"/>
    <w:rsid w:val="00BC6979"/>
    <w:rsid w:val="00BD07F8"/>
    <w:rsid w:val="00BD08E6"/>
    <w:rsid w:val="00BD12DA"/>
    <w:rsid w:val="00BD23CF"/>
    <w:rsid w:val="00BD2A90"/>
    <w:rsid w:val="00BD3DEC"/>
    <w:rsid w:val="00BD3EF0"/>
    <w:rsid w:val="00BD4041"/>
    <w:rsid w:val="00BD4AD2"/>
    <w:rsid w:val="00BD5030"/>
    <w:rsid w:val="00BD69AF"/>
    <w:rsid w:val="00BD6A7A"/>
    <w:rsid w:val="00BD7841"/>
    <w:rsid w:val="00BE010F"/>
    <w:rsid w:val="00BE0482"/>
    <w:rsid w:val="00BE083D"/>
    <w:rsid w:val="00BE138C"/>
    <w:rsid w:val="00BE258A"/>
    <w:rsid w:val="00BE2728"/>
    <w:rsid w:val="00BE2977"/>
    <w:rsid w:val="00BE29F8"/>
    <w:rsid w:val="00BE2DDA"/>
    <w:rsid w:val="00BE3BD0"/>
    <w:rsid w:val="00BE3CD7"/>
    <w:rsid w:val="00BE3D77"/>
    <w:rsid w:val="00BE4AFA"/>
    <w:rsid w:val="00BE4D89"/>
    <w:rsid w:val="00BE635D"/>
    <w:rsid w:val="00BE66B6"/>
    <w:rsid w:val="00BE6806"/>
    <w:rsid w:val="00BE6CFF"/>
    <w:rsid w:val="00BE6F26"/>
    <w:rsid w:val="00BE7006"/>
    <w:rsid w:val="00BE7E88"/>
    <w:rsid w:val="00BF030A"/>
    <w:rsid w:val="00BF0B81"/>
    <w:rsid w:val="00BF1248"/>
    <w:rsid w:val="00BF3B48"/>
    <w:rsid w:val="00BF3B52"/>
    <w:rsid w:val="00BF3FBC"/>
    <w:rsid w:val="00BF41EF"/>
    <w:rsid w:val="00BF4B37"/>
    <w:rsid w:val="00BF4BB4"/>
    <w:rsid w:val="00BF4FCF"/>
    <w:rsid w:val="00BF5455"/>
    <w:rsid w:val="00BF62E5"/>
    <w:rsid w:val="00BF6321"/>
    <w:rsid w:val="00BF72F1"/>
    <w:rsid w:val="00BF744F"/>
    <w:rsid w:val="00BF7504"/>
    <w:rsid w:val="00BF7B5B"/>
    <w:rsid w:val="00BF7DA3"/>
    <w:rsid w:val="00C003BB"/>
    <w:rsid w:val="00C005E5"/>
    <w:rsid w:val="00C00994"/>
    <w:rsid w:val="00C00C36"/>
    <w:rsid w:val="00C0193B"/>
    <w:rsid w:val="00C01CD7"/>
    <w:rsid w:val="00C022CB"/>
    <w:rsid w:val="00C02306"/>
    <w:rsid w:val="00C02CEE"/>
    <w:rsid w:val="00C02DE1"/>
    <w:rsid w:val="00C03007"/>
    <w:rsid w:val="00C0583F"/>
    <w:rsid w:val="00C05DE4"/>
    <w:rsid w:val="00C066B5"/>
    <w:rsid w:val="00C06E9F"/>
    <w:rsid w:val="00C0761F"/>
    <w:rsid w:val="00C07817"/>
    <w:rsid w:val="00C07B1A"/>
    <w:rsid w:val="00C07E91"/>
    <w:rsid w:val="00C07EF4"/>
    <w:rsid w:val="00C107D5"/>
    <w:rsid w:val="00C10F9A"/>
    <w:rsid w:val="00C122A0"/>
    <w:rsid w:val="00C1244F"/>
    <w:rsid w:val="00C12CEB"/>
    <w:rsid w:val="00C12FD2"/>
    <w:rsid w:val="00C13157"/>
    <w:rsid w:val="00C13753"/>
    <w:rsid w:val="00C14104"/>
    <w:rsid w:val="00C14D7E"/>
    <w:rsid w:val="00C14EB7"/>
    <w:rsid w:val="00C155E8"/>
    <w:rsid w:val="00C155FA"/>
    <w:rsid w:val="00C16AAD"/>
    <w:rsid w:val="00C17159"/>
    <w:rsid w:val="00C17781"/>
    <w:rsid w:val="00C20DE9"/>
    <w:rsid w:val="00C20E79"/>
    <w:rsid w:val="00C210E6"/>
    <w:rsid w:val="00C213CF"/>
    <w:rsid w:val="00C2283E"/>
    <w:rsid w:val="00C22F8B"/>
    <w:rsid w:val="00C22FE4"/>
    <w:rsid w:val="00C23B46"/>
    <w:rsid w:val="00C245EE"/>
    <w:rsid w:val="00C261D6"/>
    <w:rsid w:val="00C261EB"/>
    <w:rsid w:val="00C27033"/>
    <w:rsid w:val="00C301BD"/>
    <w:rsid w:val="00C3190A"/>
    <w:rsid w:val="00C31C21"/>
    <w:rsid w:val="00C32EC4"/>
    <w:rsid w:val="00C33187"/>
    <w:rsid w:val="00C3480C"/>
    <w:rsid w:val="00C34B4E"/>
    <w:rsid w:val="00C351B5"/>
    <w:rsid w:val="00C351B9"/>
    <w:rsid w:val="00C35A8F"/>
    <w:rsid w:val="00C37F72"/>
    <w:rsid w:val="00C40D71"/>
    <w:rsid w:val="00C410A8"/>
    <w:rsid w:val="00C41A5B"/>
    <w:rsid w:val="00C41E24"/>
    <w:rsid w:val="00C4237B"/>
    <w:rsid w:val="00C42459"/>
    <w:rsid w:val="00C42B8D"/>
    <w:rsid w:val="00C42E06"/>
    <w:rsid w:val="00C42F2F"/>
    <w:rsid w:val="00C4330F"/>
    <w:rsid w:val="00C442DE"/>
    <w:rsid w:val="00C4457B"/>
    <w:rsid w:val="00C45635"/>
    <w:rsid w:val="00C45CAF"/>
    <w:rsid w:val="00C468FC"/>
    <w:rsid w:val="00C46989"/>
    <w:rsid w:val="00C46CE3"/>
    <w:rsid w:val="00C4712C"/>
    <w:rsid w:val="00C47B7F"/>
    <w:rsid w:val="00C50F7E"/>
    <w:rsid w:val="00C512A9"/>
    <w:rsid w:val="00C530A1"/>
    <w:rsid w:val="00C542EF"/>
    <w:rsid w:val="00C5510F"/>
    <w:rsid w:val="00C5560E"/>
    <w:rsid w:val="00C55985"/>
    <w:rsid w:val="00C57189"/>
    <w:rsid w:val="00C572AE"/>
    <w:rsid w:val="00C60F32"/>
    <w:rsid w:val="00C6229A"/>
    <w:rsid w:val="00C6265C"/>
    <w:rsid w:val="00C632D3"/>
    <w:rsid w:val="00C633BC"/>
    <w:rsid w:val="00C6368C"/>
    <w:rsid w:val="00C6372B"/>
    <w:rsid w:val="00C63E47"/>
    <w:rsid w:val="00C64476"/>
    <w:rsid w:val="00C64A34"/>
    <w:rsid w:val="00C650D0"/>
    <w:rsid w:val="00C65455"/>
    <w:rsid w:val="00C65562"/>
    <w:rsid w:val="00C655A4"/>
    <w:rsid w:val="00C65998"/>
    <w:rsid w:val="00C65BF4"/>
    <w:rsid w:val="00C667AE"/>
    <w:rsid w:val="00C673D1"/>
    <w:rsid w:val="00C67868"/>
    <w:rsid w:val="00C70A56"/>
    <w:rsid w:val="00C7156B"/>
    <w:rsid w:val="00C7198E"/>
    <w:rsid w:val="00C72746"/>
    <w:rsid w:val="00C729DC"/>
    <w:rsid w:val="00C74BAB"/>
    <w:rsid w:val="00C754E0"/>
    <w:rsid w:val="00C76E7D"/>
    <w:rsid w:val="00C77979"/>
    <w:rsid w:val="00C8094E"/>
    <w:rsid w:val="00C80CC7"/>
    <w:rsid w:val="00C80DED"/>
    <w:rsid w:val="00C8112C"/>
    <w:rsid w:val="00C8132B"/>
    <w:rsid w:val="00C819FD"/>
    <w:rsid w:val="00C81E85"/>
    <w:rsid w:val="00C824B4"/>
    <w:rsid w:val="00C82D60"/>
    <w:rsid w:val="00C83097"/>
    <w:rsid w:val="00C83369"/>
    <w:rsid w:val="00C83A6A"/>
    <w:rsid w:val="00C83E12"/>
    <w:rsid w:val="00C83E97"/>
    <w:rsid w:val="00C8464F"/>
    <w:rsid w:val="00C84A57"/>
    <w:rsid w:val="00C84F6A"/>
    <w:rsid w:val="00C85405"/>
    <w:rsid w:val="00C85E5B"/>
    <w:rsid w:val="00C865D0"/>
    <w:rsid w:val="00C866B5"/>
    <w:rsid w:val="00C86D7D"/>
    <w:rsid w:val="00C8747E"/>
    <w:rsid w:val="00C90A2F"/>
    <w:rsid w:val="00C91520"/>
    <w:rsid w:val="00C91546"/>
    <w:rsid w:val="00C919A7"/>
    <w:rsid w:val="00C92811"/>
    <w:rsid w:val="00C92832"/>
    <w:rsid w:val="00C932BE"/>
    <w:rsid w:val="00C932C5"/>
    <w:rsid w:val="00C9358E"/>
    <w:rsid w:val="00C956EE"/>
    <w:rsid w:val="00C95D94"/>
    <w:rsid w:val="00C969EB"/>
    <w:rsid w:val="00C976D8"/>
    <w:rsid w:val="00C978DD"/>
    <w:rsid w:val="00C9796A"/>
    <w:rsid w:val="00CA05E1"/>
    <w:rsid w:val="00CA0A54"/>
    <w:rsid w:val="00CA1B62"/>
    <w:rsid w:val="00CA2877"/>
    <w:rsid w:val="00CA348E"/>
    <w:rsid w:val="00CA3CA6"/>
    <w:rsid w:val="00CA3E88"/>
    <w:rsid w:val="00CA405F"/>
    <w:rsid w:val="00CA40C1"/>
    <w:rsid w:val="00CA4228"/>
    <w:rsid w:val="00CA428A"/>
    <w:rsid w:val="00CA4B27"/>
    <w:rsid w:val="00CA54BE"/>
    <w:rsid w:val="00CA61F7"/>
    <w:rsid w:val="00CA626F"/>
    <w:rsid w:val="00CA631A"/>
    <w:rsid w:val="00CA6B0E"/>
    <w:rsid w:val="00CA6CC0"/>
    <w:rsid w:val="00CA6DA9"/>
    <w:rsid w:val="00CA7AA2"/>
    <w:rsid w:val="00CB0307"/>
    <w:rsid w:val="00CB032C"/>
    <w:rsid w:val="00CB189A"/>
    <w:rsid w:val="00CB238B"/>
    <w:rsid w:val="00CB319A"/>
    <w:rsid w:val="00CB336A"/>
    <w:rsid w:val="00CB3386"/>
    <w:rsid w:val="00CB41D9"/>
    <w:rsid w:val="00CB52B6"/>
    <w:rsid w:val="00CB76A1"/>
    <w:rsid w:val="00CB77CF"/>
    <w:rsid w:val="00CB7DEE"/>
    <w:rsid w:val="00CC0248"/>
    <w:rsid w:val="00CC11EB"/>
    <w:rsid w:val="00CC151C"/>
    <w:rsid w:val="00CC1EE0"/>
    <w:rsid w:val="00CC1F1B"/>
    <w:rsid w:val="00CC228F"/>
    <w:rsid w:val="00CC2425"/>
    <w:rsid w:val="00CC358A"/>
    <w:rsid w:val="00CC3DC1"/>
    <w:rsid w:val="00CC3FE2"/>
    <w:rsid w:val="00CC4A84"/>
    <w:rsid w:val="00CC512F"/>
    <w:rsid w:val="00CC5411"/>
    <w:rsid w:val="00CC5FCE"/>
    <w:rsid w:val="00CC6BF1"/>
    <w:rsid w:val="00CC70E0"/>
    <w:rsid w:val="00CC7134"/>
    <w:rsid w:val="00CC7A0A"/>
    <w:rsid w:val="00CC7C71"/>
    <w:rsid w:val="00CD0912"/>
    <w:rsid w:val="00CD0CAF"/>
    <w:rsid w:val="00CD0E0B"/>
    <w:rsid w:val="00CD0F67"/>
    <w:rsid w:val="00CD164B"/>
    <w:rsid w:val="00CD2327"/>
    <w:rsid w:val="00CD2545"/>
    <w:rsid w:val="00CD26C7"/>
    <w:rsid w:val="00CD3199"/>
    <w:rsid w:val="00CD4198"/>
    <w:rsid w:val="00CD420A"/>
    <w:rsid w:val="00CD4B64"/>
    <w:rsid w:val="00CD4B6E"/>
    <w:rsid w:val="00CD4CFC"/>
    <w:rsid w:val="00CD532C"/>
    <w:rsid w:val="00CD5848"/>
    <w:rsid w:val="00CD7552"/>
    <w:rsid w:val="00CD7775"/>
    <w:rsid w:val="00CD78B5"/>
    <w:rsid w:val="00CD7D08"/>
    <w:rsid w:val="00CE1308"/>
    <w:rsid w:val="00CE13C4"/>
    <w:rsid w:val="00CE1FF0"/>
    <w:rsid w:val="00CE2C75"/>
    <w:rsid w:val="00CE316D"/>
    <w:rsid w:val="00CE3AA5"/>
    <w:rsid w:val="00CE41C3"/>
    <w:rsid w:val="00CE43AF"/>
    <w:rsid w:val="00CE4B75"/>
    <w:rsid w:val="00CE56C1"/>
    <w:rsid w:val="00CE5BF9"/>
    <w:rsid w:val="00CE5C8C"/>
    <w:rsid w:val="00CE6F78"/>
    <w:rsid w:val="00CE7041"/>
    <w:rsid w:val="00CE7153"/>
    <w:rsid w:val="00CE76AB"/>
    <w:rsid w:val="00CE76BD"/>
    <w:rsid w:val="00CE78EB"/>
    <w:rsid w:val="00CF060D"/>
    <w:rsid w:val="00CF0F1A"/>
    <w:rsid w:val="00CF1550"/>
    <w:rsid w:val="00CF22DF"/>
    <w:rsid w:val="00CF3221"/>
    <w:rsid w:val="00CF3C77"/>
    <w:rsid w:val="00CF4D14"/>
    <w:rsid w:val="00CF52A4"/>
    <w:rsid w:val="00CF57A5"/>
    <w:rsid w:val="00CF5CDD"/>
    <w:rsid w:val="00CF678D"/>
    <w:rsid w:val="00CF759C"/>
    <w:rsid w:val="00D01723"/>
    <w:rsid w:val="00D018B3"/>
    <w:rsid w:val="00D022D0"/>
    <w:rsid w:val="00D02D81"/>
    <w:rsid w:val="00D02E06"/>
    <w:rsid w:val="00D03C73"/>
    <w:rsid w:val="00D05173"/>
    <w:rsid w:val="00D0586D"/>
    <w:rsid w:val="00D060FE"/>
    <w:rsid w:val="00D06321"/>
    <w:rsid w:val="00D072AA"/>
    <w:rsid w:val="00D073D1"/>
    <w:rsid w:val="00D1028B"/>
    <w:rsid w:val="00D11A21"/>
    <w:rsid w:val="00D121FE"/>
    <w:rsid w:val="00D12601"/>
    <w:rsid w:val="00D137A9"/>
    <w:rsid w:val="00D13A81"/>
    <w:rsid w:val="00D13F4C"/>
    <w:rsid w:val="00D140C7"/>
    <w:rsid w:val="00D147AB"/>
    <w:rsid w:val="00D14ECB"/>
    <w:rsid w:val="00D15837"/>
    <w:rsid w:val="00D1591E"/>
    <w:rsid w:val="00D15948"/>
    <w:rsid w:val="00D15EA2"/>
    <w:rsid w:val="00D1621E"/>
    <w:rsid w:val="00D1681F"/>
    <w:rsid w:val="00D16CC1"/>
    <w:rsid w:val="00D17BD8"/>
    <w:rsid w:val="00D22BFF"/>
    <w:rsid w:val="00D22D8A"/>
    <w:rsid w:val="00D23019"/>
    <w:rsid w:val="00D245BD"/>
    <w:rsid w:val="00D25C9D"/>
    <w:rsid w:val="00D26016"/>
    <w:rsid w:val="00D2654D"/>
    <w:rsid w:val="00D26F1D"/>
    <w:rsid w:val="00D27B77"/>
    <w:rsid w:val="00D27CF9"/>
    <w:rsid w:val="00D301A7"/>
    <w:rsid w:val="00D30358"/>
    <w:rsid w:val="00D30D7C"/>
    <w:rsid w:val="00D31D93"/>
    <w:rsid w:val="00D3241C"/>
    <w:rsid w:val="00D324A0"/>
    <w:rsid w:val="00D327E6"/>
    <w:rsid w:val="00D32C59"/>
    <w:rsid w:val="00D334F6"/>
    <w:rsid w:val="00D35246"/>
    <w:rsid w:val="00D3532D"/>
    <w:rsid w:val="00D35D0F"/>
    <w:rsid w:val="00D3656B"/>
    <w:rsid w:val="00D369A2"/>
    <w:rsid w:val="00D36DB0"/>
    <w:rsid w:val="00D37101"/>
    <w:rsid w:val="00D379C2"/>
    <w:rsid w:val="00D37E05"/>
    <w:rsid w:val="00D37E44"/>
    <w:rsid w:val="00D40042"/>
    <w:rsid w:val="00D404CB"/>
    <w:rsid w:val="00D406CF"/>
    <w:rsid w:val="00D409AA"/>
    <w:rsid w:val="00D41610"/>
    <w:rsid w:val="00D4170E"/>
    <w:rsid w:val="00D41ED9"/>
    <w:rsid w:val="00D4426D"/>
    <w:rsid w:val="00D44A74"/>
    <w:rsid w:val="00D44F53"/>
    <w:rsid w:val="00D450D5"/>
    <w:rsid w:val="00D4525C"/>
    <w:rsid w:val="00D456FD"/>
    <w:rsid w:val="00D46629"/>
    <w:rsid w:val="00D4664A"/>
    <w:rsid w:val="00D468C9"/>
    <w:rsid w:val="00D46D12"/>
    <w:rsid w:val="00D4732A"/>
    <w:rsid w:val="00D47E18"/>
    <w:rsid w:val="00D47F93"/>
    <w:rsid w:val="00D514E4"/>
    <w:rsid w:val="00D524A5"/>
    <w:rsid w:val="00D53313"/>
    <w:rsid w:val="00D55154"/>
    <w:rsid w:val="00D55420"/>
    <w:rsid w:val="00D55C1A"/>
    <w:rsid w:val="00D5609F"/>
    <w:rsid w:val="00D5718B"/>
    <w:rsid w:val="00D603CF"/>
    <w:rsid w:val="00D60A3B"/>
    <w:rsid w:val="00D60E61"/>
    <w:rsid w:val="00D61BDA"/>
    <w:rsid w:val="00D61C91"/>
    <w:rsid w:val="00D61DDD"/>
    <w:rsid w:val="00D6249B"/>
    <w:rsid w:val="00D62554"/>
    <w:rsid w:val="00D62DCE"/>
    <w:rsid w:val="00D649B4"/>
    <w:rsid w:val="00D64A86"/>
    <w:rsid w:val="00D66905"/>
    <w:rsid w:val="00D6707D"/>
    <w:rsid w:val="00D6720B"/>
    <w:rsid w:val="00D67600"/>
    <w:rsid w:val="00D67F01"/>
    <w:rsid w:val="00D70F91"/>
    <w:rsid w:val="00D71252"/>
    <w:rsid w:val="00D71C0F"/>
    <w:rsid w:val="00D72D62"/>
    <w:rsid w:val="00D72F61"/>
    <w:rsid w:val="00D73192"/>
    <w:rsid w:val="00D738E0"/>
    <w:rsid w:val="00D7407D"/>
    <w:rsid w:val="00D758F7"/>
    <w:rsid w:val="00D75E13"/>
    <w:rsid w:val="00D769A3"/>
    <w:rsid w:val="00D76E79"/>
    <w:rsid w:val="00D80089"/>
    <w:rsid w:val="00D80595"/>
    <w:rsid w:val="00D80764"/>
    <w:rsid w:val="00D81141"/>
    <w:rsid w:val="00D81ACF"/>
    <w:rsid w:val="00D82BC7"/>
    <w:rsid w:val="00D82F89"/>
    <w:rsid w:val="00D83057"/>
    <w:rsid w:val="00D843ED"/>
    <w:rsid w:val="00D844E4"/>
    <w:rsid w:val="00D85156"/>
    <w:rsid w:val="00D86F6A"/>
    <w:rsid w:val="00D8739B"/>
    <w:rsid w:val="00D879A0"/>
    <w:rsid w:val="00D90033"/>
    <w:rsid w:val="00D90672"/>
    <w:rsid w:val="00D90A74"/>
    <w:rsid w:val="00D91508"/>
    <w:rsid w:val="00D91689"/>
    <w:rsid w:val="00D918C2"/>
    <w:rsid w:val="00D92C60"/>
    <w:rsid w:val="00D9327C"/>
    <w:rsid w:val="00D93B1A"/>
    <w:rsid w:val="00D93D59"/>
    <w:rsid w:val="00D9428C"/>
    <w:rsid w:val="00D9432C"/>
    <w:rsid w:val="00D947DD"/>
    <w:rsid w:val="00D950B4"/>
    <w:rsid w:val="00D950D0"/>
    <w:rsid w:val="00D95149"/>
    <w:rsid w:val="00D96273"/>
    <w:rsid w:val="00D96525"/>
    <w:rsid w:val="00D96D9A"/>
    <w:rsid w:val="00D96DF7"/>
    <w:rsid w:val="00D97064"/>
    <w:rsid w:val="00D979D8"/>
    <w:rsid w:val="00DA034F"/>
    <w:rsid w:val="00DA0BEB"/>
    <w:rsid w:val="00DA1B02"/>
    <w:rsid w:val="00DA20F2"/>
    <w:rsid w:val="00DA242B"/>
    <w:rsid w:val="00DA2A11"/>
    <w:rsid w:val="00DA2AD9"/>
    <w:rsid w:val="00DA34E7"/>
    <w:rsid w:val="00DA3AA4"/>
    <w:rsid w:val="00DA3B41"/>
    <w:rsid w:val="00DA3CB8"/>
    <w:rsid w:val="00DA3E93"/>
    <w:rsid w:val="00DA58E7"/>
    <w:rsid w:val="00DA5AA2"/>
    <w:rsid w:val="00DA743A"/>
    <w:rsid w:val="00DA7731"/>
    <w:rsid w:val="00DA7D2B"/>
    <w:rsid w:val="00DB0EBA"/>
    <w:rsid w:val="00DB11EC"/>
    <w:rsid w:val="00DB12A7"/>
    <w:rsid w:val="00DB1603"/>
    <w:rsid w:val="00DB1A97"/>
    <w:rsid w:val="00DB1C10"/>
    <w:rsid w:val="00DB1CA7"/>
    <w:rsid w:val="00DB1CFE"/>
    <w:rsid w:val="00DB3A37"/>
    <w:rsid w:val="00DB47DE"/>
    <w:rsid w:val="00DB5E56"/>
    <w:rsid w:val="00DB61C5"/>
    <w:rsid w:val="00DB73F4"/>
    <w:rsid w:val="00DC0A7A"/>
    <w:rsid w:val="00DC0C2F"/>
    <w:rsid w:val="00DC0E9E"/>
    <w:rsid w:val="00DC1B9E"/>
    <w:rsid w:val="00DC38CD"/>
    <w:rsid w:val="00DC3D8C"/>
    <w:rsid w:val="00DC40A1"/>
    <w:rsid w:val="00DC40FD"/>
    <w:rsid w:val="00DC55EF"/>
    <w:rsid w:val="00DC5D7B"/>
    <w:rsid w:val="00DC6340"/>
    <w:rsid w:val="00DC643A"/>
    <w:rsid w:val="00DC6883"/>
    <w:rsid w:val="00DC7669"/>
    <w:rsid w:val="00DC7C98"/>
    <w:rsid w:val="00DC7D4D"/>
    <w:rsid w:val="00DD022C"/>
    <w:rsid w:val="00DD022E"/>
    <w:rsid w:val="00DD089F"/>
    <w:rsid w:val="00DD0B62"/>
    <w:rsid w:val="00DD0D79"/>
    <w:rsid w:val="00DD14B8"/>
    <w:rsid w:val="00DD1DD5"/>
    <w:rsid w:val="00DD1F9F"/>
    <w:rsid w:val="00DD2394"/>
    <w:rsid w:val="00DD28ED"/>
    <w:rsid w:val="00DD3127"/>
    <w:rsid w:val="00DD3241"/>
    <w:rsid w:val="00DD4A29"/>
    <w:rsid w:val="00DD4CA1"/>
    <w:rsid w:val="00DD5187"/>
    <w:rsid w:val="00DD56D4"/>
    <w:rsid w:val="00DD5F7C"/>
    <w:rsid w:val="00DD5F8E"/>
    <w:rsid w:val="00DD6400"/>
    <w:rsid w:val="00DD69CF"/>
    <w:rsid w:val="00DE053D"/>
    <w:rsid w:val="00DE0D03"/>
    <w:rsid w:val="00DE165D"/>
    <w:rsid w:val="00DE276F"/>
    <w:rsid w:val="00DE4475"/>
    <w:rsid w:val="00DE4FC5"/>
    <w:rsid w:val="00DE63A9"/>
    <w:rsid w:val="00DE733A"/>
    <w:rsid w:val="00DE7355"/>
    <w:rsid w:val="00DE794A"/>
    <w:rsid w:val="00DE7DB1"/>
    <w:rsid w:val="00DF0CCD"/>
    <w:rsid w:val="00DF0DEB"/>
    <w:rsid w:val="00DF1084"/>
    <w:rsid w:val="00DF12FB"/>
    <w:rsid w:val="00DF2763"/>
    <w:rsid w:val="00DF2ABE"/>
    <w:rsid w:val="00DF2FFE"/>
    <w:rsid w:val="00DF408C"/>
    <w:rsid w:val="00DF4448"/>
    <w:rsid w:val="00DF4D9E"/>
    <w:rsid w:val="00DF578F"/>
    <w:rsid w:val="00DF69E1"/>
    <w:rsid w:val="00DF6FBA"/>
    <w:rsid w:val="00DF7E37"/>
    <w:rsid w:val="00DF7E48"/>
    <w:rsid w:val="00E002E6"/>
    <w:rsid w:val="00E00B93"/>
    <w:rsid w:val="00E01E8F"/>
    <w:rsid w:val="00E026C9"/>
    <w:rsid w:val="00E02A6D"/>
    <w:rsid w:val="00E03088"/>
    <w:rsid w:val="00E03DA0"/>
    <w:rsid w:val="00E04156"/>
    <w:rsid w:val="00E04714"/>
    <w:rsid w:val="00E04A38"/>
    <w:rsid w:val="00E04B2C"/>
    <w:rsid w:val="00E04BAB"/>
    <w:rsid w:val="00E0634D"/>
    <w:rsid w:val="00E065C2"/>
    <w:rsid w:val="00E06C32"/>
    <w:rsid w:val="00E06F74"/>
    <w:rsid w:val="00E06F7D"/>
    <w:rsid w:val="00E07CF4"/>
    <w:rsid w:val="00E07F4D"/>
    <w:rsid w:val="00E102E5"/>
    <w:rsid w:val="00E108A6"/>
    <w:rsid w:val="00E10919"/>
    <w:rsid w:val="00E10A39"/>
    <w:rsid w:val="00E10D6C"/>
    <w:rsid w:val="00E10F10"/>
    <w:rsid w:val="00E10F7F"/>
    <w:rsid w:val="00E1126A"/>
    <w:rsid w:val="00E11693"/>
    <w:rsid w:val="00E11A3A"/>
    <w:rsid w:val="00E11BC0"/>
    <w:rsid w:val="00E11CDD"/>
    <w:rsid w:val="00E120B1"/>
    <w:rsid w:val="00E1236B"/>
    <w:rsid w:val="00E12A5F"/>
    <w:rsid w:val="00E1300C"/>
    <w:rsid w:val="00E131E9"/>
    <w:rsid w:val="00E134DE"/>
    <w:rsid w:val="00E13882"/>
    <w:rsid w:val="00E1394D"/>
    <w:rsid w:val="00E13E45"/>
    <w:rsid w:val="00E14B85"/>
    <w:rsid w:val="00E14C75"/>
    <w:rsid w:val="00E1516A"/>
    <w:rsid w:val="00E15C1F"/>
    <w:rsid w:val="00E16C60"/>
    <w:rsid w:val="00E16E19"/>
    <w:rsid w:val="00E16E60"/>
    <w:rsid w:val="00E20098"/>
    <w:rsid w:val="00E20171"/>
    <w:rsid w:val="00E2178D"/>
    <w:rsid w:val="00E21F24"/>
    <w:rsid w:val="00E21FE5"/>
    <w:rsid w:val="00E220EE"/>
    <w:rsid w:val="00E22896"/>
    <w:rsid w:val="00E23109"/>
    <w:rsid w:val="00E234BD"/>
    <w:rsid w:val="00E239EC"/>
    <w:rsid w:val="00E246C7"/>
    <w:rsid w:val="00E25568"/>
    <w:rsid w:val="00E25D68"/>
    <w:rsid w:val="00E26A69"/>
    <w:rsid w:val="00E26C3B"/>
    <w:rsid w:val="00E26C73"/>
    <w:rsid w:val="00E27470"/>
    <w:rsid w:val="00E27AB3"/>
    <w:rsid w:val="00E300F2"/>
    <w:rsid w:val="00E30347"/>
    <w:rsid w:val="00E308CE"/>
    <w:rsid w:val="00E32CF0"/>
    <w:rsid w:val="00E330F6"/>
    <w:rsid w:val="00E33B98"/>
    <w:rsid w:val="00E33F38"/>
    <w:rsid w:val="00E33F94"/>
    <w:rsid w:val="00E34551"/>
    <w:rsid w:val="00E34956"/>
    <w:rsid w:val="00E34A41"/>
    <w:rsid w:val="00E34BED"/>
    <w:rsid w:val="00E34DF4"/>
    <w:rsid w:val="00E34F57"/>
    <w:rsid w:val="00E35228"/>
    <w:rsid w:val="00E35AE3"/>
    <w:rsid w:val="00E35E1C"/>
    <w:rsid w:val="00E3615B"/>
    <w:rsid w:val="00E36A8A"/>
    <w:rsid w:val="00E373A4"/>
    <w:rsid w:val="00E378C0"/>
    <w:rsid w:val="00E40687"/>
    <w:rsid w:val="00E41528"/>
    <w:rsid w:val="00E41868"/>
    <w:rsid w:val="00E41ACF"/>
    <w:rsid w:val="00E42B6D"/>
    <w:rsid w:val="00E43157"/>
    <w:rsid w:val="00E43173"/>
    <w:rsid w:val="00E43820"/>
    <w:rsid w:val="00E43C05"/>
    <w:rsid w:val="00E44606"/>
    <w:rsid w:val="00E44CE5"/>
    <w:rsid w:val="00E45365"/>
    <w:rsid w:val="00E4586B"/>
    <w:rsid w:val="00E45B19"/>
    <w:rsid w:val="00E45E6D"/>
    <w:rsid w:val="00E469A2"/>
    <w:rsid w:val="00E472B1"/>
    <w:rsid w:val="00E47D72"/>
    <w:rsid w:val="00E503E9"/>
    <w:rsid w:val="00E50702"/>
    <w:rsid w:val="00E50D2A"/>
    <w:rsid w:val="00E517BD"/>
    <w:rsid w:val="00E5199C"/>
    <w:rsid w:val="00E52B68"/>
    <w:rsid w:val="00E53355"/>
    <w:rsid w:val="00E5381E"/>
    <w:rsid w:val="00E53B46"/>
    <w:rsid w:val="00E541B1"/>
    <w:rsid w:val="00E54CDB"/>
    <w:rsid w:val="00E54DDA"/>
    <w:rsid w:val="00E54E4C"/>
    <w:rsid w:val="00E54F49"/>
    <w:rsid w:val="00E55434"/>
    <w:rsid w:val="00E55C2B"/>
    <w:rsid w:val="00E56163"/>
    <w:rsid w:val="00E5630A"/>
    <w:rsid w:val="00E61098"/>
    <w:rsid w:val="00E61C3E"/>
    <w:rsid w:val="00E6270D"/>
    <w:rsid w:val="00E62991"/>
    <w:rsid w:val="00E65084"/>
    <w:rsid w:val="00E65512"/>
    <w:rsid w:val="00E65A25"/>
    <w:rsid w:val="00E65C63"/>
    <w:rsid w:val="00E65FE5"/>
    <w:rsid w:val="00E664DB"/>
    <w:rsid w:val="00E6653A"/>
    <w:rsid w:val="00E669F0"/>
    <w:rsid w:val="00E66DCC"/>
    <w:rsid w:val="00E67160"/>
    <w:rsid w:val="00E6787C"/>
    <w:rsid w:val="00E67E5F"/>
    <w:rsid w:val="00E70DDB"/>
    <w:rsid w:val="00E71E3F"/>
    <w:rsid w:val="00E72BC2"/>
    <w:rsid w:val="00E72E0E"/>
    <w:rsid w:val="00E73140"/>
    <w:rsid w:val="00E73429"/>
    <w:rsid w:val="00E743EF"/>
    <w:rsid w:val="00E747F2"/>
    <w:rsid w:val="00E749DC"/>
    <w:rsid w:val="00E755D5"/>
    <w:rsid w:val="00E75773"/>
    <w:rsid w:val="00E757B9"/>
    <w:rsid w:val="00E75CF5"/>
    <w:rsid w:val="00E75DF3"/>
    <w:rsid w:val="00E7600D"/>
    <w:rsid w:val="00E76981"/>
    <w:rsid w:val="00E76993"/>
    <w:rsid w:val="00E769CB"/>
    <w:rsid w:val="00E771C1"/>
    <w:rsid w:val="00E77A1E"/>
    <w:rsid w:val="00E8035D"/>
    <w:rsid w:val="00E815E5"/>
    <w:rsid w:val="00E82750"/>
    <w:rsid w:val="00E82C03"/>
    <w:rsid w:val="00E8332E"/>
    <w:rsid w:val="00E83BAC"/>
    <w:rsid w:val="00E83D40"/>
    <w:rsid w:val="00E8422D"/>
    <w:rsid w:val="00E846D5"/>
    <w:rsid w:val="00E84DD3"/>
    <w:rsid w:val="00E853B0"/>
    <w:rsid w:val="00E85850"/>
    <w:rsid w:val="00E8601E"/>
    <w:rsid w:val="00E87057"/>
    <w:rsid w:val="00E87668"/>
    <w:rsid w:val="00E877B6"/>
    <w:rsid w:val="00E87FD1"/>
    <w:rsid w:val="00E90962"/>
    <w:rsid w:val="00E91BD9"/>
    <w:rsid w:val="00E91C4C"/>
    <w:rsid w:val="00E91CA7"/>
    <w:rsid w:val="00E924C0"/>
    <w:rsid w:val="00E927FF"/>
    <w:rsid w:val="00E94254"/>
    <w:rsid w:val="00E94801"/>
    <w:rsid w:val="00E95E42"/>
    <w:rsid w:val="00E964CB"/>
    <w:rsid w:val="00E96620"/>
    <w:rsid w:val="00E96FBA"/>
    <w:rsid w:val="00E97454"/>
    <w:rsid w:val="00E978D2"/>
    <w:rsid w:val="00E979CF"/>
    <w:rsid w:val="00EA04FE"/>
    <w:rsid w:val="00EA0714"/>
    <w:rsid w:val="00EA0F2C"/>
    <w:rsid w:val="00EA0F2E"/>
    <w:rsid w:val="00EA16A6"/>
    <w:rsid w:val="00EA3332"/>
    <w:rsid w:val="00EA348C"/>
    <w:rsid w:val="00EA3BFE"/>
    <w:rsid w:val="00EA404B"/>
    <w:rsid w:val="00EA47FA"/>
    <w:rsid w:val="00EA5044"/>
    <w:rsid w:val="00EA53FC"/>
    <w:rsid w:val="00EA5587"/>
    <w:rsid w:val="00EA67E5"/>
    <w:rsid w:val="00EB01BB"/>
    <w:rsid w:val="00EB06E5"/>
    <w:rsid w:val="00EB0A31"/>
    <w:rsid w:val="00EB2692"/>
    <w:rsid w:val="00EB3062"/>
    <w:rsid w:val="00EB3C7C"/>
    <w:rsid w:val="00EB4034"/>
    <w:rsid w:val="00EB4266"/>
    <w:rsid w:val="00EB4584"/>
    <w:rsid w:val="00EB4C3A"/>
    <w:rsid w:val="00EB57C0"/>
    <w:rsid w:val="00EB58A2"/>
    <w:rsid w:val="00EB5F7A"/>
    <w:rsid w:val="00EB6697"/>
    <w:rsid w:val="00EB7535"/>
    <w:rsid w:val="00EC0528"/>
    <w:rsid w:val="00EC08F3"/>
    <w:rsid w:val="00EC0A13"/>
    <w:rsid w:val="00EC16AD"/>
    <w:rsid w:val="00EC1901"/>
    <w:rsid w:val="00EC2715"/>
    <w:rsid w:val="00EC2909"/>
    <w:rsid w:val="00EC2942"/>
    <w:rsid w:val="00EC4407"/>
    <w:rsid w:val="00EC46D2"/>
    <w:rsid w:val="00EC471D"/>
    <w:rsid w:val="00EC5D20"/>
    <w:rsid w:val="00EC6581"/>
    <w:rsid w:val="00EC6752"/>
    <w:rsid w:val="00EC6798"/>
    <w:rsid w:val="00EC696F"/>
    <w:rsid w:val="00EC6ECC"/>
    <w:rsid w:val="00EC6FBF"/>
    <w:rsid w:val="00EC7A1D"/>
    <w:rsid w:val="00EC7DD3"/>
    <w:rsid w:val="00ED0AB5"/>
    <w:rsid w:val="00ED1210"/>
    <w:rsid w:val="00ED1409"/>
    <w:rsid w:val="00ED17EE"/>
    <w:rsid w:val="00ED2730"/>
    <w:rsid w:val="00ED4406"/>
    <w:rsid w:val="00ED50C4"/>
    <w:rsid w:val="00ED6867"/>
    <w:rsid w:val="00ED7DA4"/>
    <w:rsid w:val="00EE0D28"/>
    <w:rsid w:val="00EE1080"/>
    <w:rsid w:val="00EE2F60"/>
    <w:rsid w:val="00EE3907"/>
    <w:rsid w:val="00EE395A"/>
    <w:rsid w:val="00EE3E02"/>
    <w:rsid w:val="00EE4C1E"/>
    <w:rsid w:val="00EE4F47"/>
    <w:rsid w:val="00EE54A9"/>
    <w:rsid w:val="00EE5931"/>
    <w:rsid w:val="00EE59C1"/>
    <w:rsid w:val="00EE59F4"/>
    <w:rsid w:val="00EE6446"/>
    <w:rsid w:val="00EE70BC"/>
    <w:rsid w:val="00EE766D"/>
    <w:rsid w:val="00EE76B9"/>
    <w:rsid w:val="00EE7E24"/>
    <w:rsid w:val="00EF031D"/>
    <w:rsid w:val="00EF0607"/>
    <w:rsid w:val="00EF0FCF"/>
    <w:rsid w:val="00EF1074"/>
    <w:rsid w:val="00EF128F"/>
    <w:rsid w:val="00EF18DF"/>
    <w:rsid w:val="00EF1E1E"/>
    <w:rsid w:val="00EF1E55"/>
    <w:rsid w:val="00EF23AE"/>
    <w:rsid w:val="00EF25B8"/>
    <w:rsid w:val="00EF2C38"/>
    <w:rsid w:val="00EF36FF"/>
    <w:rsid w:val="00EF477C"/>
    <w:rsid w:val="00EF47EA"/>
    <w:rsid w:val="00EF505B"/>
    <w:rsid w:val="00EF5A22"/>
    <w:rsid w:val="00EF5EBA"/>
    <w:rsid w:val="00EF62ED"/>
    <w:rsid w:val="00EF7366"/>
    <w:rsid w:val="00F0050F"/>
    <w:rsid w:val="00F00807"/>
    <w:rsid w:val="00F00EF9"/>
    <w:rsid w:val="00F01046"/>
    <w:rsid w:val="00F01115"/>
    <w:rsid w:val="00F01F89"/>
    <w:rsid w:val="00F02692"/>
    <w:rsid w:val="00F03407"/>
    <w:rsid w:val="00F03CBF"/>
    <w:rsid w:val="00F0491D"/>
    <w:rsid w:val="00F04A30"/>
    <w:rsid w:val="00F0651A"/>
    <w:rsid w:val="00F068EC"/>
    <w:rsid w:val="00F06C5F"/>
    <w:rsid w:val="00F075FB"/>
    <w:rsid w:val="00F07614"/>
    <w:rsid w:val="00F11153"/>
    <w:rsid w:val="00F1199F"/>
    <w:rsid w:val="00F11D2C"/>
    <w:rsid w:val="00F1217F"/>
    <w:rsid w:val="00F126C1"/>
    <w:rsid w:val="00F12D8F"/>
    <w:rsid w:val="00F1325A"/>
    <w:rsid w:val="00F135E4"/>
    <w:rsid w:val="00F13B08"/>
    <w:rsid w:val="00F14BD2"/>
    <w:rsid w:val="00F15504"/>
    <w:rsid w:val="00F161E6"/>
    <w:rsid w:val="00F173DD"/>
    <w:rsid w:val="00F17E29"/>
    <w:rsid w:val="00F2056C"/>
    <w:rsid w:val="00F206C1"/>
    <w:rsid w:val="00F208FD"/>
    <w:rsid w:val="00F216BD"/>
    <w:rsid w:val="00F21C22"/>
    <w:rsid w:val="00F222D9"/>
    <w:rsid w:val="00F23F21"/>
    <w:rsid w:val="00F241E8"/>
    <w:rsid w:val="00F248A9"/>
    <w:rsid w:val="00F25261"/>
    <w:rsid w:val="00F2593F"/>
    <w:rsid w:val="00F25AF5"/>
    <w:rsid w:val="00F2616E"/>
    <w:rsid w:val="00F263A4"/>
    <w:rsid w:val="00F2655E"/>
    <w:rsid w:val="00F269E0"/>
    <w:rsid w:val="00F26F85"/>
    <w:rsid w:val="00F27366"/>
    <w:rsid w:val="00F2785A"/>
    <w:rsid w:val="00F30CA5"/>
    <w:rsid w:val="00F311D5"/>
    <w:rsid w:val="00F31A57"/>
    <w:rsid w:val="00F32421"/>
    <w:rsid w:val="00F331B8"/>
    <w:rsid w:val="00F332AA"/>
    <w:rsid w:val="00F335D7"/>
    <w:rsid w:val="00F33E06"/>
    <w:rsid w:val="00F340FA"/>
    <w:rsid w:val="00F340FE"/>
    <w:rsid w:val="00F343A9"/>
    <w:rsid w:val="00F3445D"/>
    <w:rsid w:val="00F34981"/>
    <w:rsid w:val="00F34B2F"/>
    <w:rsid w:val="00F34CBA"/>
    <w:rsid w:val="00F3536D"/>
    <w:rsid w:val="00F35659"/>
    <w:rsid w:val="00F359FD"/>
    <w:rsid w:val="00F36053"/>
    <w:rsid w:val="00F36414"/>
    <w:rsid w:val="00F36610"/>
    <w:rsid w:val="00F37D31"/>
    <w:rsid w:val="00F40217"/>
    <w:rsid w:val="00F413A8"/>
    <w:rsid w:val="00F413BD"/>
    <w:rsid w:val="00F41772"/>
    <w:rsid w:val="00F42AB7"/>
    <w:rsid w:val="00F42B15"/>
    <w:rsid w:val="00F42B9B"/>
    <w:rsid w:val="00F43319"/>
    <w:rsid w:val="00F43417"/>
    <w:rsid w:val="00F43BE4"/>
    <w:rsid w:val="00F43FD8"/>
    <w:rsid w:val="00F459DD"/>
    <w:rsid w:val="00F45ADB"/>
    <w:rsid w:val="00F45DF8"/>
    <w:rsid w:val="00F462C6"/>
    <w:rsid w:val="00F465CC"/>
    <w:rsid w:val="00F46EE8"/>
    <w:rsid w:val="00F47632"/>
    <w:rsid w:val="00F47C32"/>
    <w:rsid w:val="00F47E81"/>
    <w:rsid w:val="00F50455"/>
    <w:rsid w:val="00F504F3"/>
    <w:rsid w:val="00F50ED4"/>
    <w:rsid w:val="00F51BBE"/>
    <w:rsid w:val="00F521ED"/>
    <w:rsid w:val="00F52264"/>
    <w:rsid w:val="00F52729"/>
    <w:rsid w:val="00F52D60"/>
    <w:rsid w:val="00F5423D"/>
    <w:rsid w:val="00F548BD"/>
    <w:rsid w:val="00F55079"/>
    <w:rsid w:val="00F557A7"/>
    <w:rsid w:val="00F55B47"/>
    <w:rsid w:val="00F561CA"/>
    <w:rsid w:val="00F563CC"/>
    <w:rsid w:val="00F56D83"/>
    <w:rsid w:val="00F60538"/>
    <w:rsid w:val="00F60A6F"/>
    <w:rsid w:val="00F60A9C"/>
    <w:rsid w:val="00F613B9"/>
    <w:rsid w:val="00F61987"/>
    <w:rsid w:val="00F626F2"/>
    <w:rsid w:val="00F62819"/>
    <w:rsid w:val="00F6369E"/>
    <w:rsid w:val="00F63760"/>
    <w:rsid w:val="00F6425B"/>
    <w:rsid w:val="00F64366"/>
    <w:rsid w:val="00F646B0"/>
    <w:rsid w:val="00F65B8D"/>
    <w:rsid w:val="00F6712D"/>
    <w:rsid w:val="00F67232"/>
    <w:rsid w:val="00F67666"/>
    <w:rsid w:val="00F67E81"/>
    <w:rsid w:val="00F67EFE"/>
    <w:rsid w:val="00F70B15"/>
    <w:rsid w:val="00F7136C"/>
    <w:rsid w:val="00F7215B"/>
    <w:rsid w:val="00F72404"/>
    <w:rsid w:val="00F7290F"/>
    <w:rsid w:val="00F72D4C"/>
    <w:rsid w:val="00F73422"/>
    <w:rsid w:val="00F74062"/>
    <w:rsid w:val="00F7431F"/>
    <w:rsid w:val="00F7458B"/>
    <w:rsid w:val="00F74741"/>
    <w:rsid w:val="00F7562C"/>
    <w:rsid w:val="00F75699"/>
    <w:rsid w:val="00F761D2"/>
    <w:rsid w:val="00F7638F"/>
    <w:rsid w:val="00F76784"/>
    <w:rsid w:val="00F77312"/>
    <w:rsid w:val="00F77F84"/>
    <w:rsid w:val="00F80DFB"/>
    <w:rsid w:val="00F81304"/>
    <w:rsid w:val="00F81444"/>
    <w:rsid w:val="00F82661"/>
    <w:rsid w:val="00F83A13"/>
    <w:rsid w:val="00F83A7C"/>
    <w:rsid w:val="00F83D72"/>
    <w:rsid w:val="00F84668"/>
    <w:rsid w:val="00F849AA"/>
    <w:rsid w:val="00F85A80"/>
    <w:rsid w:val="00F861AD"/>
    <w:rsid w:val="00F8654F"/>
    <w:rsid w:val="00F868E1"/>
    <w:rsid w:val="00F86D1F"/>
    <w:rsid w:val="00F86FB3"/>
    <w:rsid w:val="00F87A50"/>
    <w:rsid w:val="00F90132"/>
    <w:rsid w:val="00F907C2"/>
    <w:rsid w:val="00F90F36"/>
    <w:rsid w:val="00F91413"/>
    <w:rsid w:val="00F91941"/>
    <w:rsid w:val="00F91A50"/>
    <w:rsid w:val="00F91BBE"/>
    <w:rsid w:val="00F9289F"/>
    <w:rsid w:val="00F928CB"/>
    <w:rsid w:val="00F933D5"/>
    <w:rsid w:val="00F940E1"/>
    <w:rsid w:val="00F94175"/>
    <w:rsid w:val="00F944B5"/>
    <w:rsid w:val="00F94F1B"/>
    <w:rsid w:val="00F95116"/>
    <w:rsid w:val="00F95FF0"/>
    <w:rsid w:val="00F960EB"/>
    <w:rsid w:val="00F96102"/>
    <w:rsid w:val="00F96975"/>
    <w:rsid w:val="00F973A7"/>
    <w:rsid w:val="00F973F9"/>
    <w:rsid w:val="00F97C76"/>
    <w:rsid w:val="00F97FE7"/>
    <w:rsid w:val="00FA049F"/>
    <w:rsid w:val="00FA066F"/>
    <w:rsid w:val="00FA1E5D"/>
    <w:rsid w:val="00FA36C9"/>
    <w:rsid w:val="00FA43A4"/>
    <w:rsid w:val="00FA4E08"/>
    <w:rsid w:val="00FA5374"/>
    <w:rsid w:val="00FA662E"/>
    <w:rsid w:val="00FA7688"/>
    <w:rsid w:val="00FA7AA6"/>
    <w:rsid w:val="00FA7C92"/>
    <w:rsid w:val="00FA7DA8"/>
    <w:rsid w:val="00FA7FA0"/>
    <w:rsid w:val="00FB044D"/>
    <w:rsid w:val="00FB049F"/>
    <w:rsid w:val="00FB07F1"/>
    <w:rsid w:val="00FB0D10"/>
    <w:rsid w:val="00FB0E8D"/>
    <w:rsid w:val="00FB1064"/>
    <w:rsid w:val="00FB181D"/>
    <w:rsid w:val="00FB1BDA"/>
    <w:rsid w:val="00FB2066"/>
    <w:rsid w:val="00FB23FF"/>
    <w:rsid w:val="00FB28AA"/>
    <w:rsid w:val="00FB3612"/>
    <w:rsid w:val="00FB3E0E"/>
    <w:rsid w:val="00FB423D"/>
    <w:rsid w:val="00FB46FC"/>
    <w:rsid w:val="00FB4791"/>
    <w:rsid w:val="00FB623B"/>
    <w:rsid w:val="00FB7F83"/>
    <w:rsid w:val="00FC013E"/>
    <w:rsid w:val="00FC0722"/>
    <w:rsid w:val="00FC0A98"/>
    <w:rsid w:val="00FC1AC8"/>
    <w:rsid w:val="00FC2717"/>
    <w:rsid w:val="00FC38EC"/>
    <w:rsid w:val="00FC3FB0"/>
    <w:rsid w:val="00FC43B8"/>
    <w:rsid w:val="00FC4568"/>
    <w:rsid w:val="00FC489B"/>
    <w:rsid w:val="00FC537A"/>
    <w:rsid w:val="00FC545E"/>
    <w:rsid w:val="00FC5DC8"/>
    <w:rsid w:val="00FC7033"/>
    <w:rsid w:val="00FC7428"/>
    <w:rsid w:val="00FC75BF"/>
    <w:rsid w:val="00FD02EF"/>
    <w:rsid w:val="00FD0AA6"/>
    <w:rsid w:val="00FD12B4"/>
    <w:rsid w:val="00FD14FC"/>
    <w:rsid w:val="00FD19A8"/>
    <w:rsid w:val="00FD20D6"/>
    <w:rsid w:val="00FD32E3"/>
    <w:rsid w:val="00FD3BF4"/>
    <w:rsid w:val="00FD3D6A"/>
    <w:rsid w:val="00FD40F2"/>
    <w:rsid w:val="00FD41AF"/>
    <w:rsid w:val="00FD433D"/>
    <w:rsid w:val="00FD5162"/>
    <w:rsid w:val="00FD5CC9"/>
    <w:rsid w:val="00FD66CD"/>
    <w:rsid w:val="00FD6DB6"/>
    <w:rsid w:val="00FD7684"/>
    <w:rsid w:val="00FD7902"/>
    <w:rsid w:val="00FE0893"/>
    <w:rsid w:val="00FE1558"/>
    <w:rsid w:val="00FE203E"/>
    <w:rsid w:val="00FE227B"/>
    <w:rsid w:val="00FE3090"/>
    <w:rsid w:val="00FE333D"/>
    <w:rsid w:val="00FE3B04"/>
    <w:rsid w:val="00FE5F9D"/>
    <w:rsid w:val="00FE611D"/>
    <w:rsid w:val="00FE639F"/>
    <w:rsid w:val="00FE6468"/>
    <w:rsid w:val="00FE67D3"/>
    <w:rsid w:val="00FE7364"/>
    <w:rsid w:val="00FE7C0E"/>
    <w:rsid w:val="00FF0170"/>
    <w:rsid w:val="00FF0279"/>
    <w:rsid w:val="00FF1858"/>
    <w:rsid w:val="00FF32F1"/>
    <w:rsid w:val="00FF4564"/>
    <w:rsid w:val="00FF541E"/>
    <w:rsid w:val="00FF554A"/>
    <w:rsid w:val="00FF5E14"/>
    <w:rsid w:val="00FF6B75"/>
    <w:rsid w:val="00FF7DAB"/>
    <w:rsid w:val="010A1B44"/>
    <w:rsid w:val="01329042"/>
    <w:rsid w:val="013E249B"/>
    <w:rsid w:val="016B8264"/>
    <w:rsid w:val="019D4136"/>
    <w:rsid w:val="01B734DA"/>
    <w:rsid w:val="01EB4ECA"/>
    <w:rsid w:val="01F4EA39"/>
    <w:rsid w:val="01F6936D"/>
    <w:rsid w:val="02294F59"/>
    <w:rsid w:val="022B6888"/>
    <w:rsid w:val="0237BF51"/>
    <w:rsid w:val="026BB7A0"/>
    <w:rsid w:val="0291D2F2"/>
    <w:rsid w:val="0296D184"/>
    <w:rsid w:val="02D72599"/>
    <w:rsid w:val="02EACF09"/>
    <w:rsid w:val="02F2D60B"/>
    <w:rsid w:val="0307CBDD"/>
    <w:rsid w:val="030BFD6D"/>
    <w:rsid w:val="03358C48"/>
    <w:rsid w:val="0382B836"/>
    <w:rsid w:val="0387AC88"/>
    <w:rsid w:val="0391652D"/>
    <w:rsid w:val="03CE5DB2"/>
    <w:rsid w:val="03F3A5D7"/>
    <w:rsid w:val="0401ABA0"/>
    <w:rsid w:val="04205518"/>
    <w:rsid w:val="042AD227"/>
    <w:rsid w:val="04ABEC8D"/>
    <w:rsid w:val="04BE909D"/>
    <w:rsid w:val="04D4E0C8"/>
    <w:rsid w:val="055157C5"/>
    <w:rsid w:val="0565C339"/>
    <w:rsid w:val="05892699"/>
    <w:rsid w:val="05A317F9"/>
    <w:rsid w:val="061C6BD1"/>
    <w:rsid w:val="06BD071B"/>
    <w:rsid w:val="06CE717E"/>
    <w:rsid w:val="073D8EBB"/>
    <w:rsid w:val="077D462E"/>
    <w:rsid w:val="079FDBEC"/>
    <w:rsid w:val="07DAE27F"/>
    <w:rsid w:val="07E1CC70"/>
    <w:rsid w:val="0884EC48"/>
    <w:rsid w:val="08A7C1CD"/>
    <w:rsid w:val="0938ACA6"/>
    <w:rsid w:val="093BAC4D"/>
    <w:rsid w:val="096851E7"/>
    <w:rsid w:val="099FDADC"/>
    <w:rsid w:val="09A066C9"/>
    <w:rsid w:val="0A186175"/>
    <w:rsid w:val="0A478F4C"/>
    <w:rsid w:val="0A539E2E"/>
    <w:rsid w:val="0A5D6227"/>
    <w:rsid w:val="0A68593A"/>
    <w:rsid w:val="0A752F7D"/>
    <w:rsid w:val="0A9EE7A5"/>
    <w:rsid w:val="0AC7F07F"/>
    <w:rsid w:val="0AD6E0A8"/>
    <w:rsid w:val="0AED39EA"/>
    <w:rsid w:val="0B196D32"/>
    <w:rsid w:val="0BC73461"/>
    <w:rsid w:val="0BC7D476"/>
    <w:rsid w:val="0C55A07F"/>
    <w:rsid w:val="0CC1E182"/>
    <w:rsid w:val="0D0D2063"/>
    <w:rsid w:val="0D682C02"/>
    <w:rsid w:val="0DDFAC85"/>
    <w:rsid w:val="0DE46856"/>
    <w:rsid w:val="0E328B40"/>
    <w:rsid w:val="0E70AA26"/>
    <w:rsid w:val="0E85309C"/>
    <w:rsid w:val="0E9B6E26"/>
    <w:rsid w:val="0E9F40BB"/>
    <w:rsid w:val="0F562D8D"/>
    <w:rsid w:val="0F97FD73"/>
    <w:rsid w:val="0FA71DFF"/>
    <w:rsid w:val="0FB6DC39"/>
    <w:rsid w:val="0FC9610D"/>
    <w:rsid w:val="103D55CB"/>
    <w:rsid w:val="10664669"/>
    <w:rsid w:val="1077910B"/>
    <w:rsid w:val="109F350B"/>
    <w:rsid w:val="10AA9091"/>
    <w:rsid w:val="110675C2"/>
    <w:rsid w:val="11332669"/>
    <w:rsid w:val="117967A7"/>
    <w:rsid w:val="1186D0FE"/>
    <w:rsid w:val="118BAEA6"/>
    <w:rsid w:val="11D549AC"/>
    <w:rsid w:val="11D788ED"/>
    <w:rsid w:val="1224945A"/>
    <w:rsid w:val="123501E5"/>
    <w:rsid w:val="1273E835"/>
    <w:rsid w:val="1281B28E"/>
    <w:rsid w:val="1293B229"/>
    <w:rsid w:val="12965EDE"/>
    <w:rsid w:val="12B1117C"/>
    <w:rsid w:val="12D36600"/>
    <w:rsid w:val="12D421AC"/>
    <w:rsid w:val="12FB5692"/>
    <w:rsid w:val="12FBA178"/>
    <w:rsid w:val="134C6A96"/>
    <w:rsid w:val="134EDE59"/>
    <w:rsid w:val="13684716"/>
    <w:rsid w:val="13711A0D"/>
    <w:rsid w:val="1376613A"/>
    <w:rsid w:val="13FF9253"/>
    <w:rsid w:val="14196B2F"/>
    <w:rsid w:val="1421F7FA"/>
    <w:rsid w:val="1443C71D"/>
    <w:rsid w:val="150D9FBC"/>
    <w:rsid w:val="153A4E16"/>
    <w:rsid w:val="157C6958"/>
    <w:rsid w:val="15BD8D1E"/>
    <w:rsid w:val="15D4BE19"/>
    <w:rsid w:val="15F4EBBE"/>
    <w:rsid w:val="16050A3F"/>
    <w:rsid w:val="16343CCA"/>
    <w:rsid w:val="166BE58B"/>
    <w:rsid w:val="16D43E84"/>
    <w:rsid w:val="16FADA85"/>
    <w:rsid w:val="178CA8B6"/>
    <w:rsid w:val="17AE2F78"/>
    <w:rsid w:val="17D2B70B"/>
    <w:rsid w:val="1894F351"/>
    <w:rsid w:val="18E8D4B6"/>
    <w:rsid w:val="194D6F61"/>
    <w:rsid w:val="194E9B86"/>
    <w:rsid w:val="195D47FB"/>
    <w:rsid w:val="195F02B2"/>
    <w:rsid w:val="1971C73F"/>
    <w:rsid w:val="1A340EDE"/>
    <w:rsid w:val="1A49C57D"/>
    <w:rsid w:val="1A83B15F"/>
    <w:rsid w:val="1AC0A700"/>
    <w:rsid w:val="1AE119D2"/>
    <w:rsid w:val="1AE144ED"/>
    <w:rsid w:val="1C5DE483"/>
    <w:rsid w:val="1C903ACA"/>
    <w:rsid w:val="1CD5CB11"/>
    <w:rsid w:val="1D17ECAF"/>
    <w:rsid w:val="1D531B36"/>
    <w:rsid w:val="1D5D021A"/>
    <w:rsid w:val="1DF8C6B9"/>
    <w:rsid w:val="1EF83D62"/>
    <w:rsid w:val="1F123F1C"/>
    <w:rsid w:val="1F698598"/>
    <w:rsid w:val="1F99C00C"/>
    <w:rsid w:val="1FC80283"/>
    <w:rsid w:val="20B77405"/>
    <w:rsid w:val="20C3DDC5"/>
    <w:rsid w:val="20C492BE"/>
    <w:rsid w:val="20D01C0E"/>
    <w:rsid w:val="20FF8A20"/>
    <w:rsid w:val="213520CB"/>
    <w:rsid w:val="22673779"/>
    <w:rsid w:val="228F212B"/>
    <w:rsid w:val="22AA206A"/>
    <w:rsid w:val="22B5D21F"/>
    <w:rsid w:val="22EAFAB1"/>
    <w:rsid w:val="23154615"/>
    <w:rsid w:val="23851B9E"/>
    <w:rsid w:val="23CBC79C"/>
    <w:rsid w:val="23D0F7AA"/>
    <w:rsid w:val="23D6813D"/>
    <w:rsid w:val="23D8BEC6"/>
    <w:rsid w:val="241DF55C"/>
    <w:rsid w:val="241E1944"/>
    <w:rsid w:val="243D1B8D"/>
    <w:rsid w:val="2449E7B1"/>
    <w:rsid w:val="2461D86D"/>
    <w:rsid w:val="246EFB2B"/>
    <w:rsid w:val="247B265E"/>
    <w:rsid w:val="248C79F5"/>
    <w:rsid w:val="24C3243D"/>
    <w:rsid w:val="25070765"/>
    <w:rsid w:val="253A4DA9"/>
    <w:rsid w:val="253AAE35"/>
    <w:rsid w:val="255C6929"/>
    <w:rsid w:val="257E4A64"/>
    <w:rsid w:val="25A31633"/>
    <w:rsid w:val="25BC8F78"/>
    <w:rsid w:val="25FB959D"/>
    <w:rsid w:val="25FCEA17"/>
    <w:rsid w:val="261799AF"/>
    <w:rsid w:val="26A210CF"/>
    <w:rsid w:val="278241D5"/>
    <w:rsid w:val="2798AE0A"/>
    <w:rsid w:val="2799792F"/>
    <w:rsid w:val="27ECCABF"/>
    <w:rsid w:val="27EE085B"/>
    <w:rsid w:val="282E0B0F"/>
    <w:rsid w:val="284C5E98"/>
    <w:rsid w:val="28858ACA"/>
    <w:rsid w:val="28D0C876"/>
    <w:rsid w:val="294CA9C8"/>
    <w:rsid w:val="2954763B"/>
    <w:rsid w:val="29A9BD59"/>
    <w:rsid w:val="29B53C62"/>
    <w:rsid w:val="29D33A22"/>
    <w:rsid w:val="29EED480"/>
    <w:rsid w:val="2A9AFC6E"/>
    <w:rsid w:val="2ABE91D0"/>
    <w:rsid w:val="2AD9D9D0"/>
    <w:rsid w:val="2AEF2C2E"/>
    <w:rsid w:val="2B23D024"/>
    <w:rsid w:val="2B4356E6"/>
    <w:rsid w:val="2B89AA24"/>
    <w:rsid w:val="2C16E709"/>
    <w:rsid w:val="2C2301B6"/>
    <w:rsid w:val="2C345A1E"/>
    <w:rsid w:val="2C53C1F5"/>
    <w:rsid w:val="2C7032CB"/>
    <w:rsid w:val="2C95981A"/>
    <w:rsid w:val="2D57D30B"/>
    <w:rsid w:val="2D68DCA2"/>
    <w:rsid w:val="2DB1A9F7"/>
    <w:rsid w:val="2E26F26B"/>
    <w:rsid w:val="2E4D4FED"/>
    <w:rsid w:val="2E7C9940"/>
    <w:rsid w:val="2ED06A6D"/>
    <w:rsid w:val="2EFD20C0"/>
    <w:rsid w:val="2F090754"/>
    <w:rsid w:val="2F37883C"/>
    <w:rsid w:val="2FFF1FBA"/>
    <w:rsid w:val="3031D058"/>
    <w:rsid w:val="30B35FA2"/>
    <w:rsid w:val="30DC26E9"/>
    <w:rsid w:val="30DDD15E"/>
    <w:rsid w:val="30EC913F"/>
    <w:rsid w:val="30EEF6AC"/>
    <w:rsid w:val="310F39F6"/>
    <w:rsid w:val="311C11D7"/>
    <w:rsid w:val="31243D47"/>
    <w:rsid w:val="31A25FDD"/>
    <w:rsid w:val="31A702E7"/>
    <w:rsid w:val="31D21409"/>
    <w:rsid w:val="321B2393"/>
    <w:rsid w:val="3244FD6E"/>
    <w:rsid w:val="32528203"/>
    <w:rsid w:val="32B4589D"/>
    <w:rsid w:val="32D22D75"/>
    <w:rsid w:val="33150A10"/>
    <w:rsid w:val="332D8D2F"/>
    <w:rsid w:val="332DB028"/>
    <w:rsid w:val="33B2F039"/>
    <w:rsid w:val="33F032E5"/>
    <w:rsid w:val="3410561E"/>
    <w:rsid w:val="347D4D50"/>
    <w:rsid w:val="348F5895"/>
    <w:rsid w:val="34E06AB3"/>
    <w:rsid w:val="3509B5AD"/>
    <w:rsid w:val="350FBD24"/>
    <w:rsid w:val="3571DF66"/>
    <w:rsid w:val="35A37DF6"/>
    <w:rsid w:val="35B17ECE"/>
    <w:rsid w:val="35CF04D8"/>
    <w:rsid w:val="35D27F5E"/>
    <w:rsid w:val="35E5E4CD"/>
    <w:rsid w:val="35FBD1D6"/>
    <w:rsid w:val="37310599"/>
    <w:rsid w:val="3738213D"/>
    <w:rsid w:val="3798AAA0"/>
    <w:rsid w:val="379E683F"/>
    <w:rsid w:val="37A717A1"/>
    <w:rsid w:val="38093A01"/>
    <w:rsid w:val="384F0B23"/>
    <w:rsid w:val="387A427C"/>
    <w:rsid w:val="38AA82DD"/>
    <w:rsid w:val="38CE2881"/>
    <w:rsid w:val="38D5F952"/>
    <w:rsid w:val="38FE47E5"/>
    <w:rsid w:val="392176F1"/>
    <w:rsid w:val="3922DDDA"/>
    <w:rsid w:val="396F85C7"/>
    <w:rsid w:val="398CEA05"/>
    <w:rsid w:val="39B3F421"/>
    <w:rsid w:val="39F2B236"/>
    <w:rsid w:val="3A0A1FDF"/>
    <w:rsid w:val="3A13E7C3"/>
    <w:rsid w:val="3A576769"/>
    <w:rsid w:val="3A782FA2"/>
    <w:rsid w:val="3A794E67"/>
    <w:rsid w:val="3AB85A53"/>
    <w:rsid w:val="3AD0FFA6"/>
    <w:rsid w:val="3AF6F0D1"/>
    <w:rsid w:val="3B3CB649"/>
    <w:rsid w:val="3B6F3854"/>
    <w:rsid w:val="3B753D5B"/>
    <w:rsid w:val="3C70A1A1"/>
    <w:rsid w:val="3D0C798A"/>
    <w:rsid w:val="3D470A10"/>
    <w:rsid w:val="3DD03D47"/>
    <w:rsid w:val="3E02448C"/>
    <w:rsid w:val="3E876409"/>
    <w:rsid w:val="3EED40CE"/>
    <w:rsid w:val="3F692939"/>
    <w:rsid w:val="3FA194F8"/>
    <w:rsid w:val="3FAB8C17"/>
    <w:rsid w:val="3FD25890"/>
    <w:rsid w:val="3FD7B059"/>
    <w:rsid w:val="4042BC4E"/>
    <w:rsid w:val="404E5650"/>
    <w:rsid w:val="4063436B"/>
    <w:rsid w:val="4088A86F"/>
    <w:rsid w:val="411FAE31"/>
    <w:rsid w:val="4190F79D"/>
    <w:rsid w:val="41B98E39"/>
    <w:rsid w:val="4242D5E0"/>
    <w:rsid w:val="424C6231"/>
    <w:rsid w:val="42731D3D"/>
    <w:rsid w:val="427EE0F3"/>
    <w:rsid w:val="43F3A98E"/>
    <w:rsid w:val="4404118A"/>
    <w:rsid w:val="441BEF93"/>
    <w:rsid w:val="448647E6"/>
    <w:rsid w:val="4554EBF9"/>
    <w:rsid w:val="4570C95E"/>
    <w:rsid w:val="457B96DA"/>
    <w:rsid w:val="45BF8F46"/>
    <w:rsid w:val="460693D7"/>
    <w:rsid w:val="460BA1EE"/>
    <w:rsid w:val="462AEA05"/>
    <w:rsid w:val="46699030"/>
    <w:rsid w:val="467FE642"/>
    <w:rsid w:val="46CB3EE0"/>
    <w:rsid w:val="4738C45C"/>
    <w:rsid w:val="473B8076"/>
    <w:rsid w:val="476DABEA"/>
    <w:rsid w:val="4785AD61"/>
    <w:rsid w:val="47AD5DC3"/>
    <w:rsid w:val="4807B5A1"/>
    <w:rsid w:val="481DA8C3"/>
    <w:rsid w:val="4825C0F7"/>
    <w:rsid w:val="485871C7"/>
    <w:rsid w:val="48D75534"/>
    <w:rsid w:val="48DDA9CB"/>
    <w:rsid w:val="492E6D42"/>
    <w:rsid w:val="4993665F"/>
    <w:rsid w:val="49A6BF02"/>
    <w:rsid w:val="49C9F21D"/>
    <w:rsid w:val="4A387EAB"/>
    <w:rsid w:val="4A3AB46E"/>
    <w:rsid w:val="4A5025A3"/>
    <w:rsid w:val="4B039936"/>
    <w:rsid w:val="4B0CAF93"/>
    <w:rsid w:val="4B0D29E0"/>
    <w:rsid w:val="4B437C54"/>
    <w:rsid w:val="4B5F1DC9"/>
    <w:rsid w:val="4B6ABDE5"/>
    <w:rsid w:val="4B6C08C2"/>
    <w:rsid w:val="4B6DE715"/>
    <w:rsid w:val="4BF18AF1"/>
    <w:rsid w:val="4C480F6C"/>
    <w:rsid w:val="4CBBCD38"/>
    <w:rsid w:val="4CCCEE51"/>
    <w:rsid w:val="4D0F0E82"/>
    <w:rsid w:val="4D3CE11F"/>
    <w:rsid w:val="4D6F38DF"/>
    <w:rsid w:val="4DF77E9C"/>
    <w:rsid w:val="4E3B6CB5"/>
    <w:rsid w:val="4E89E2EE"/>
    <w:rsid w:val="4E97A769"/>
    <w:rsid w:val="4EA052B6"/>
    <w:rsid w:val="4EBA5289"/>
    <w:rsid w:val="4EF03A6D"/>
    <w:rsid w:val="4F02B86F"/>
    <w:rsid w:val="4F90492A"/>
    <w:rsid w:val="5033BE85"/>
    <w:rsid w:val="504021BB"/>
    <w:rsid w:val="506250AD"/>
    <w:rsid w:val="506527A2"/>
    <w:rsid w:val="50C03A3B"/>
    <w:rsid w:val="51531EDB"/>
    <w:rsid w:val="51814517"/>
    <w:rsid w:val="5191C638"/>
    <w:rsid w:val="51D9626B"/>
    <w:rsid w:val="51D9DE5D"/>
    <w:rsid w:val="526CCFD7"/>
    <w:rsid w:val="530FE448"/>
    <w:rsid w:val="53190639"/>
    <w:rsid w:val="533115E2"/>
    <w:rsid w:val="53337EA3"/>
    <w:rsid w:val="53A0E7F4"/>
    <w:rsid w:val="53D62CB4"/>
    <w:rsid w:val="53D6E205"/>
    <w:rsid w:val="53E0F5E2"/>
    <w:rsid w:val="543B79DB"/>
    <w:rsid w:val="5452FCB7"/>
    <w:rsid w:val="5490DA2F"/>
    <w:rsid w:val="54C80CA4"/>
    <w:rsid w:val="550EA9DC"/>
    <w:rsid w:val="551A351D"/>
    <w:rsid w:val="55552D33"/>
    <w:rsid w:val="556A98D2"/>
    <w:rsid w:val="56066A18"/>
    <w:rsid w:val="5606E23B"/>
    <w:rsid w:val="561D9E7E"/>
    <w:rsid w:val="5638166D"/>
    <w:rsid w:val="56389E80"/>
    <w:rsid w:val="564A6514"/>
    <w:rsid w:val="56B1A6CE"/>
    <w:rsid w:val="56B89032"/>
    <w:rsid w:val="56C81548"/>
    <w:rsid w:val="56DAE7E2"/>
    <w:rsid w:val="56E2C457"/>
    <w:rsid w:val="56FB2EB6"/>
    <w:rsid w:val="570A5FB9"/>
    <w:rsid w:val="570E364B"/>
    <w:rsid w:val="572ED6FA"/>
    <w:rsid w:val="5735D8F0"/>
    <w:rsid w:val="574C06D7"/>
    <w:rsid w:val="5759C506"/>
    <w:rsid w:val="57C1D1CA"/>
    <w:rsid w:val="57C2CD0C"/>
    <w:rsid w:val="57D0CCE6"/>
    <w:rsid w:val="57E620F3"/>
    <w:rsid w:val="586C56A7"/>
    <w:rsid w:val="58F27BDD"/>
    <w:rsid w:val="590B36EB"/>
    <w:rsid w:val="591F9F4B"/>
    <w:rsid w:val="595580AF"/>
    <w:rsid w:val="59765CFE"/>
    <w:rsid w:val="598EA01C"/>
    <w:rsid w:val="59A707BF"/>
    <w:rsid w:val="59A769BA"/>
    <w:rsid w:val="59C7C4F9"/>
    <w:rsid w:val="5A38D735"/>
    <w:rsid w:val="5A9164F6"/>
    <w:rsid w:val="5AE932F5"/>
    <w:rsid w:val="5AF82569"/>
    <w:rsid w:val="5B1D2A3D"/>
    <w:rsid w:val="5B23BBFF"/>
    <w:rsid w:val="5B24618A"/>
    <w:rsid w:val="5B62069C"/>
    <w:rsid w:val="5BC0A6F9"/>
    <w:rsid w:val="5BC314AD"/>
    <w:rsid w:val="5C2A3C2C"/>
    <w:rsid w:val="5C67880B"/>
    <w:rsid w:val="5C7B503D"/>
    <w:rsid w:val="5D49C329"/>
    <w:rsid w:val="5D5F8D12"/>
    <w:rsid w:val="5DA36369"/>
    <w:rsid w:val="5DBD1FAD"/>
    <w:rsid w:val="5DBDD584"/>
    <w:rsid w:val="5DC5514D"/>
    <w:rsid w:val="5DD1BC2B"/>
    <w:rsid w:val="5DD38B6A"/>
    <w:rsid w:val="5DFC109F"/>
    <w:rsid w:val="5E1A1543"/>
    <w:rsid w:val="5E4A4F04"/>
    <w:rsid w:val="5E7F787F"/>
    <w:rsid w:val="5EDA1E55"/>
    <w:rsid w:val="5EF67486"/>
    <w:rsid w:val="5F3AEEE7"/>
    <w:rsid w:val="5F556A13"/>
    <w:rsid w:val="5F7CD8C3"/>
    <w:rsid w:val="5F94CA36"/>
    <w:rsid w:val="5FAE5DC0"/>
    <w:rsid w:val="5FB5BE12"/>
    <w:rsid w:val="5FDC9674"/>
    <w:rsid w:val="5FF6D58E"/>
    <w:rsid w:val="608047E1"/>
    <w:rsid w:val="60972DD4"/>
    <w:rsid w:val="61177F4B"/>
    <w:rsid w:val="61456583"/>
    <w:rsid w:val="614AC6D5"/>
    <w:rsid w:val="6155204E"/>
    <w:rsid w:val="61962EA6"/>
    <w:rsid w:val="61A0328A"/>
    <w:rsid w:val="61CD862C"/>
    <w:rsid w:val="61E7906C"/>
    <w:rsid w:val="621A4725"/>
    <w:rsid w:val="6232FE35"/>
    <w:rsid w:val="624D542D"/>
    <w:rsid w:val="62B6B048"/>
    <w:rsid w:val="62BCC89A"/>
    <w:rsid w:val="62D0BC61"/>
    <w:rsid w:val="62FEF8CA"/>
    <w:rsid w:val="6324AFB4"/>
    <w:rsid w:val="637622FD"/>
    <w:rsid w:val="63CECE96"/>
    <w:rsid w:val="63DEB153"/>
    <w:rsid w:val="63EF58DC"/>
    <w:rsid w:val="64926558"/>
    <w:rsid w:val="64FF0F6A"/>
    <w:rsid w:val="658FE5AB"/>
    <w:rsid w:val="65B2B7CD"/>
    <w:rsid w:val="65B41ABF"/>
    <w:rsid w:val="65B5AEC9"/>
    <w:rsid w:val="660C38A9"/>
    <w:rsid w:val="66240560"/>
    <w:rsid w:val="6669297A"/>
    <w:rsid w:val="66BD0F41"/>
    <w:rsid w:val="66CE846B"/>
    <w:rsid w:val="66E9BD2E"/>
    <w:rsid w:val="67066F58"/>
    <w:rsid w:val="6714261C"/>
    <w:rsid w:val="67859D78"/>
    <w:rsid w:val="678F9C48"/>
    <w:rsid w:val="679D603E"/>
    <w:rsid w:val="67ABD5F2"/>
    <w:rsid w:val="67CC95A2"/>
    <w:rsid w:val="67F86AC4"/>
    <w:rsid w:val="68054213"/>
    <w:rsid w:val="681C0918"/>
    <w:rsid w:val="688C8F26"/>
    <w:rsid w:val="68BA7A16"/>
    <w:rsid w:val="68C0893F"/>
    <w:rsid w:val="68D1AB82"/>
    <w:rsid w:val="69579455"/>
    <w:rsid w:val="6969E2E3"/>
    <w:rsid w:val="6982AF57"/>
    <w:rsid w:val="69841080"/>
    <w:rsid w:val="698BC4B2"/>
    <w:rsid w:val="69B5B3FB"/>
    <w:rsid w:val="69B9EC53"/>
    <w:rsid w:val="6A0A2366"/>
    <w:rsid w:val="6A219488"/>
    <w:rsid w:val="6A2214D6"/>
    <w:rsid w:val="6A3E101A"/>
    <w:rsid w:val="6A7424D0"/>
    <w:rsid w:val="6ACAC72D"/>
    <w:rsid w:val="6AD57D36"/>
    <w:rsid w:val="6AD6D8C5"/>
    <w:rsid w:val="6B2E9B6F"/>
    <w:rsid w:val="6B907EC1"/>
    <w:rsid w:val="6C1FBF00"/>
    <w:rsid w:val="6C244C10"/>
    <w:rsid w:val="6C9FB624"/>
    <w:rsid w:val="6CA5EE14"/>
    <w:rsid w:val="6CCC85FC"/>
    <w:rsid w:val="6D146693"/>
    <w:rsid w:val="6D20CE85"/>
    <w:rsid w:val="6D2D6D1B"/>
    <w:rsid w:val="6D7CF788"/>
    <w:rsid w:val="6DC50D65"/>
    <w:rsid w:val="6DD8E2FB"/>
    <w:rsid w:val="6E4D3966"/>
    <w:rsid w:val="6E672DDC"/>
    <w:rsid w:val="6E938494"/>
    <w:rsid w:val="6EDE8C68"/>
    <w:rsid w:val="6EE30FBE"/>
    <w:rsid w:val="6EE83FEF"/>
    <w:rsid w:val="6F07EF36"/>
    <w:rsid w:val="6F120A1E"/>
    <w:rsid w:val="6F2D7E59"/>
    <w:rsid w:val="6F2F5B2F"/>
    <w:rsid w:val="6F429621"/>
    <w:rsid w:val="6F48FAA6"/>
    <w:rsid w:val="6F66C91C"/>
    <w:rsid w:val="6FA5011B"/>
    <w:rsid w:val="6FA916C5"/>
    <w:rsid w:val="70265B00"/>
    <w:rsid w:val="7031990B"/>
    <w:rsid w:val="707FA7F7"/>
    <w:rsid w:val="70818AEF"/>
    <w:rsid w:val="70A5306C"/>
    <w:rsid w:val="70CE96D8"/>
    <w:rsid w:val="70DEE3C4"/>
    <w:rsid w:val="713091E2"/>
    <w:rsid w:val="715FC79B"/>
    <w:rsid w:val="71742860"/>
    <w:rsid w:val="71B9A3FD"/>
    <w:rsid w:val="724BB43F"/>
    <w:rsid w:val="729B905E"/>
    <w:rsid w:val="72B23C06"/>
    <w:rsid w:val="72C0490F"/>
    <w:rsid w:val="72CBAFA5"/>
    <w:rsid w:val="72DC0A65"/>
    <w:rsid w:val="732106A5"/>
    <w:rsid w:val="738A1C83"/>
    <w:rsid w:val="73B08D58"/>
    <w:rsid w:val="73C88EA7"/>
    <w:rsid w:val="73EA6721"/>
    <w:rsid w:val="73ECDFE6"/>
    <w:rsid w:val="73F453D6"/>
    <w:rsid w:val="7425CC66"/>
    <w:rsid w:val="7474A861"/>
    <w:rsid w:val="7485306C"/>
    <w:rsid w:val="748F26EC"/>
    <w:rsid w:val="74BD853E"/>
    <w:rsid w:val="74E26C33"/>
    <w:rsid w:val="74E367FB"/>
    <w:rsid w:val="750129F5"/>
    <w:rsid w:val="75431ED5"/>
    <w:rsid w:val="757A2403"/>
    <w:rsid w:val="75DC82C5"/>
    <w:rsid w:val="75FBDBC1"/>
    <w:rsid w:val="76125D0A"/>
    <w:rsid w:val="7645C3E2"/>
    <w:rsid w:val="7679C8C7"/>
    <w:rsid w:val="76CEFF93"/>
    <w:rsid w:val="76E1F8D6"/>
    <w:rsid w:val="772B66E9"/>
    <w:rsid w:val="773B0F58"/>
    <w:rsid w:val="778CBD71"/>
    <w:rsid w:val="77BB842F"/>
    <w:rsid w:val="77C5CDCA"/>
    <w:rsid w:val="77E1798E"/>
    <w:rsid w:val="77F9E39B"/>
    <w:rsid w:val="7825A6D9"/>
    <w:rsid w:val="785D5A90"/>
    <w:rsid w:val="78640ED3"/>
    <w:rsid w:val="789262B5"/>
    <w:rsid w:val="789E8DE1"/>
    <w:rsid w:val="78C3DBCD"/>
    <w:rsid w:val="78E145EB"/>
    <w:rsid w:val="799032A3"/>
    <w:rsid w:val="7992E1AB"/>
    <w:rsid w:val="79E1FBB1"/>
    <w:rsid w:val="7AC800F5"/>
    <w:rsid w:val="7ADCC139"/>
    <w:rsid w:val="7B0F22F3"/>
    <w:rsid w:val="7B1F3264"/>
    <w:rsid w:val="7B26A6F4"/>
    <w:rsid w:val="7B3032AE"/>
    <w:rsid w:val="7B8819E0"/>
    <w:rsid w:val="7BBD0960"/>
    <w:rsid w:val="7BC32E79"/>
    <w:rsid w:val="7C47AA04"/>
    <w:rsid w:val="7C63E96B"/>
    <w:rsid w:val="7C6A5BC6"/>
    <w:rsid w:val="7CC47908"/>
    <w:rsid w:val="7CC4924D"/>
    <w:rsid w:val="7CE9A6D8"/>
    <w:rsid w:val="7D31D237"/>
    <w:rsid w:val="7D4B7DCC"/>
    <w:rsid w:val="7D5E25FA"/>
    <w:rsid w:val="7DBA795B"/>
    <w:rsid w:val="7DDEEFB4"/>
    <w:rsid w:val="7E6701EF"/>
    <w:rsid w:val="7ED6058F"/>
    <w:rsid w:val="7EE4CF12"/>
    <w:rsid w:val="7F51B5CC"/>
    <w:rsid w:val="7FA8E7F1"/>
    <w:rsid w:val="7FC6B8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0CA1B"/>
  <w15:chartTrackingRefBased/>
  <w15:docId w15:val="{7E628B0C-A775-4809-BC63-643422BF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foot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4443"/>
    <w:rPr>
      <w:sz w:val="24"/>
    </w:rPr>
  </w:style>
  <w:style w:type="paragraph" w:styleId="Heading1">
    <w:name w:val="heading 1"/>
    <w:next w:val="ParagraphText-unnumbered"/>
    <w:qFormat/>
    <w:rsid w:val="00533E0F"/>
    <w:pPr>
      <w:keepNext/>
      <w:pageBreakBefore/>
      <w:spacing w:after="284" w:line="584" w:lineRule="exact"/>
      <w:outlineLvl w:val="0"/>
    </w:pPr>
    <w:rPr>
      <w:b/>
      <w:sz w:val="48"/>
    </w:rPr>
  </w:style>
  <w:style w:type="paragraph" w:styleId="Heading2">
    <w:name w:val="heading 2"/>
    <w:next w:val="ParagraphText-unnumbered"/>
    <w:qFormat/>
    <w:rsid w:val="00533E0F"/>
    <w:pPr>
      <w:keepNext/>
      <w:keepLines/>
      <w:spacing w:before="240" w:after="240" w:line="410" w:lineRule="exact"/>
      <w:outlineLvl w:val="1"/>
    </w:pPr>
    <w:rPr>
      <w:b/>
      <w:sz w:val="33"/>
    </w:rPr>
  </w:style>
  <w:style w:type="paragraph" w:styleId="Heading3">
    <w:name w:val="heading 3"/>
    <w:next w:val="ParagraphText-unnumbered"/>
    <w:qFormat/>
    <w:rsid w:val="00E45E6D"/>
    <w:pPr>
      <w:keepNext/>
      <w:keepLines/>
      <w:spacing w:before="120" w:after="240" w:line="370" w:lineRule="exact"/>
      <w:outlineLvl w:val="2"/>
    </w:pPr>
    <w:rPr>
      <w:b/>
      <w:sz w:val="29"/>
    </w:rPr>
  </w:style>
  <w:style w:type="paragraph" w:styleId="Heading4">
    <w:name w:val="heading 4"/>
    <w:next w:val="ParagraphText-unnumbered"/>
    <w:qFormat/>
    <w:rsid w:val="00533E0F"/>
    <w:pPr>
      <w:keepNext/>
      <w:keepLines/>
      <w:spacing w:before="120" w:after="120" w:line="330" w:lineRule="exact"/>
      <w:outlineLvl w:val="3"/>
    </w:pPr>
    <w:rPr>
      <w:b/>
      <w:sz w:val="25"/>
    </w:rPr>
  </w:style>
  <w:style w:type="paragraph" w:styleId="Heading5">
    <w:name w:val="heading 5"/>
    <w:next w:val="ParagraphText-unnumbered"/>
    <w:qFormat/>
    <w:rsid w:val="00533E0F"/>
    <w:pPr>
      <w:keepNext/>
      <w:keepLines/>
      <w:spacing w:before="120" w:line="324" w:lineRule="exact"/>
      <w:outlineLvl w:val="4"/>
    </w:pPr>
    <w:rPr>
      <w:b/>
      <w:sz w:val="24"/>
    </w:rPr>
  </w:style>
  <w:style w:type="paragraph" w:styleId="Heading6">
    <w:name w:val="heading 6"/>
    <w:basedOn w:val="Heading1"/>
    <w:next w:val="ParagraphText-unnumbered"/>
    <w:uiPriority w:val="99"/>
    <w:semiHidden/>
    <w:rsid w:val="006351A9"/>
    <w:pPr>
      <w:spacing w:before="10280" w:after="0"/>
      <w:outlineLvl w:val="5"/>
    </w:pPr>
    <w:rPr>
      <w:b w:val="0"/>
      <w:sz w:val="24"/>
    </w:rPr>
  </w:style>
  <w:style w:type="paragraph" w:styleId="Heading7">
    <w:name w:val="heading 7"/>
    <w:next w:val="ParagraphText-unnumbered"/>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unnumberedChar">
    <w:name w:val="Paragraph Text - unnumbered Char"/>
    <w:basedOn w:val="DefaultParagraphFont"/>
    <w:link w:val="ParagraphText-unnumbered"/>
    <w:rsid w:val="00EC16AD"/>
    <w:rPr>
      <w:rFonts w:ascii="Arial" w:hAnsi="Arial"/>
      <w:sz w:val="24"/>
    </w:rPr>
  </w:style>
  <w:style w:type="paragraph" w:styleId="TOC1">
    <w:name w:val="toc 1"/>
    <w:uiPriority w:val="39"/>
    <w:qFormat/>
    <w:rsid w:val="0008385D"/>
    <w:pPr>
      <w:tabs>
        <w:tab w:val="right" w:leader="dot" w:pos="9639"/>
      </w:tabs>
      <w:spacing w:before="120" w:after="120"/>
    </w:pPr>
    <w:rPr>
      <w:sz w:val="24"/>
    </w:rPr>
  </w:style>
  <w:style w:type="paragraph" w:customStyle="1" w:styleId="Heading-contents">
    <w:name w:val="Heading - contents"/>
    <w:next w:val="ParagraphText-unnumbered"/>
    <w:uiPriority w:val="1"/>
    <w:rsid w:val="00533E0F"/>
    <w:pPr>
      <w:spacing w:after="360"/>
    </w:pPr>
    <w:rPr>
      <w:b/>
      <w:sz w:val="48"/>
    </w:rPr>
  </w:style>
  <w:style w:type="paragraph" w:customStyle="1" w:styleId="Bulletundernumberedlist">
    <w:name w:val="Bullet (under numbered list)"/>
    <w:uiPriority w:val="1"/>
    <w:qFormat/>
    <w:rsid w:val="00D514E4"/>
    <w:pPr>
      <w:numPr>
        <w:numId w:val="1"/>
      </w:numPr>
      <w:tabs>
        <w:tab w:val="clear" w:pos="717"/>
      </w:tabs>
      <w:spacing w:after="284" w:line="324" w:lineRule="exact"/>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793E5B"/>
    <w:pPr>
      <w:numPr>
        <w:numId w:val="2"/>
      </w:numPr>
      <w:tabs>
        <w:tab w:val="clear" w:pos="360"/>
      </w:tabs>
      <w:spacing w:after="284" w:line="324" w:lineRule="exact"/>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unnumbered"/>
    <w:uiPriority w:val="99"/>
    <w:semiHidden/>
    <w:rsid w:val="007C7960"/>
    <w:rPr>
      <w:b/>
      <w:sz w:val="18"/>
    </w:rPr>
  </w:style>
  <w:style w:type="paragraph" w:styleId="Footer">
    <w:name w:val="footer"/>
    <w:basedOn w:val="ParagraphText-unnumbered"/>
    <w:uiPriority w:val="99"/>
    <w:semiHidden/>
    <w:rsid w:val="00C81E85"/>
    <w:pPr>
      <w:spacing w:after="0"/>
      <w:jc w:val="center"/>
    </w:pPr>
    <w:rPr>
      <w:sz w:val="18"/>
    </w:rPr>
  </w:style>
  <w:style w:type="character" w:styleId="Hyperlink">
    <w:name w:val="Hyperlink"/>
    <w:uiPriority w:val="99"/>
    <w:rsid w:val="00117502"/>
    <w:rPr>
      <w:color w:val="0063BE"/>
      <w:u w:val="single"/>
    </w:rPr>
  </w:style>
  <w:style w:type="paragraph" w:customStyle="1" w:styleId="ParagraphText-unnumbered">
    <w:name w:val="Paragraph Text - unnumbered"/>
    <w:link w:val="ParagraphText-unnumberedChar"/>
    <w:qFormat/>
    <w:rsid w:val="00ED2730"/>
    <w:pPr>
      <w:spacing w:after="284" w:line="324" w:lineRule="exact"/>
    </w:pPr>
    <w:rPr>
      <w:sz w:val="24"/>
    </w:rPr>
  </w:style>
  <w:style w:type="paragraph" w:customStyle="1" w:styleId="Textindented">
    <w:name w:val="Text indented"/>
    <w:uiPriority w:val="1"/>
    <w:qFormat/>
    <w:rsid w:val="00793E5B"/>
    <w:pPr>
      <w:spacing w:after="284" w:line="324" w:lineRule="exact"/>
      <w:ind w:left="851"/>
    </w:pPr>
    <w:rPr>
      <w:sz w:val="24"/>
      <w:lang w:eastAsia="en-US"/>
    </w:rPr>
  </w:style>
  <w:style w:type="paragraph" w:customStyle="1" w:styleId="StyleTopSinglesolidlineAuto05ptLinewidth">
    <w:name w:val="Style Top: (Single solid line Auto  0.5 pt Line width)"/>
    <w:basedOn w:val="ParagraphText-unnumbered"/>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unhideWhenUsed/>
    <w:locked/>
    <w:rsid w:val="006C320A"/>
    <w:rPr>
      <w:color w:val="808080"/>
      <w:shd w:val="clear" w:color="auto" w:fill="E6E6E6"/>
    </w:rPr>
  </w:style>
  <w:style w:type="paragraph" w:customStyle="1" w:styleId="UNDEREMBARGOSTRAPLINE">
    <w:name w:val="UNDER EMBARGO STRAPLINE"/>
    <w:basedOn w:val="ParagraphText-unnumbered"/>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qFormat/>
    <w:rsid w:val="00F332AA"/>
    <w:rPr>
      <w:b/>
    </w:rPr>
  </w:style>
  <w:style w:type="character" w:customStyle="1" w:styleId="Italic">
    <w:name w:val="Italic"/>
    <w:basedOn w:val="DefaultParagraphFont"/>
    <w:uiPriority w:val="3"/>
    <w:qFormat/>
    <w:rsid w:val="00F332AA"/>
    <w:rPr>
      <w:i/>
    </w:rPr>
  </w:style>
  <w:style w:type="paragraph" w:customStyle="1" w:styleId="Heading1-numbered">
    <w:name w:val="Heading 1 - numbered"/>
    <w:next w:val="ParagraphText-unnumbered"/>
    <w:qFormat/>
    <w:rsid w:val="00533E0F"/>
    <w:pPr>
      <w:keepNext/>
      <w:pageBreakBefore/>
      <w:numPr>
        <w:numId w:val="4"/>
      </w:numPr>
      <w:spacing w:after="284" w:line="584" w:lineRule="exact"/>
      <w:outlineLvl w:val="0"/>
    </w:pPr>
    <w:rPr>
      <w:b/>
      <w:sz w:val="48"/>
    </w:rPr>
  </w:style>
  <w:style w:type="paragraph" w:customStyle="1" w:styleId="ParagraphText-numbered">
    <w:name w:val="Paragraph Text - numbered"/>
    <w:basedOn w:val="Heading1-numbered"/>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Heading1-numbered"/>
    <w:uiPriority w:val="1"/>
    <w:rsid w:val="00012205"/>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Heading1-numbered"/>
    <w:uiPriority w:val="1"/>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uiPriority w:val="1"/>
    <w:qFormat/>
    <w:rsid w:val="00980923"/>
    <w:pPr>
      <w:keepNext/>
      <w:keepLines/>
      <w:spacing w:before="240" w:after="284" w:line="330" w:lineRule="exact"/>
    </w:pPr>
    <w:rPr>
      <w:b/>
      <w:color w:val="616265"/>
      <w:sz w:val="25"/>
    </w:rPr>
  </w:style>
  <w:style w:type="paragraph" w:customStyle="1" w:styleId="Heading2-notforToC">
    <w:name w:val="Heading 2 - not for ToC"/>
    <w:uiPriority w:val="1"/>
    <w:rsid w:val="00654C97"/>
    <w:pPr>
      <w:spacing w:before="240" w:after="240" w:line="410" w:lineRule="exact"/>
    </w:pPr>
    <w:rPr>
      <w:b/>
      <w:sz w:val="33"/>
      <w:lang w:eastAsia="en-US"/>
    </w:rPr>
  </w:style>
  <w:style w:type="paragraph" w:customStyle="1" w:styleId="Heading3-notforToC">
    <w:name w:val="Heading 3 - not for ToC"/>
    <w:uiPriority w:val="1"/>
    <w:rsid w:val="00654C97"/>
    <w:pPr>
      <w:spacing w:before="240" w:after="240" w:line="3700" w:lineRule="exact"/>
    </w:pPr>
    <w:rPr>
      <w:b/>
      <w:sz w:val="29"/>
    </w:rPr>
  </w:style>
  <w:style w:type="paragraph" w:customStyle="1" w:styleId="Footnote">
    <w:name w:val="Footnote"/>
    <w:uiPriority w:val="1"/>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basedOn w:val="Table-headertext"/>
    <w:uiPriority w:val="1"/>
    <w:qFormat/>
    <w:rsid w:val="00B82ED2"/>
    <w:rPr>
      <w:rFonts w:cs="Arial"/>
      <w:b/>
    </w:rPr>
  </w:style>
  <w:style w:type="paragraph" w:customStyle="1" w:styleId="Pull-outstyle">
    <w:name w:val="Pull-out style"/>
    <w:uiPriority w:val="1"/>
    <w:qFormat/>
    <w:rsid w:val="00A41E69"/>
    <w:pPr>
      <w:keepLines/>
      <w:spacing w:after="284" w:line="400" w:lineRule="exact"/>
    </w:pPr>
    <w:rPr>
      <w:sz w:val="32"/>
      <w:szCs w:val="32"/>
    </w:rPr>
  </w:style>
  <w:style w:type="paragraph" w:customStyle="1" w:styleId="Reporttitle">
    <w:name w:val="Report title"/>
    <w:basedOn w:val="Covertitle"/>
    <w:uiPriority w:val="1"/>
    <w:qFormat/>
    <w:rsid w:val="0090067A"/>
    <w:pPr>
      <w:spacing w:after="480"/>
    </w:pPr>
    <w:rPr>
      <w:rFonts w:cs="Arial"/>
      <w:sz w:val="56"/>
      <w:szCs w:val="60"/>
    </w:rPr>
  </w:style>
  <w:style w:type="paragraph" w:customStyle="1" w:styleId="Reportsubtitle">
    <w:name w:val="Report subtitle"/>
    <w:basedOn w:val="cover-othertext"/>
    <w:uiPriority w:val="1"/>
    <w:qFormat/>
    <w:rsid w:val="00726C35"/>
    <w:pPr>
      <w:spacing w:after="960" w:line="240" w:lineRule="auto"/>
    </w:pPr>
    <w:rPr>
      <w:rFonts w:cs="Arial"/>
      <w:b/>
      <w:sz w:val="36"/>
      <w:szCs w:val="36"/>
    </w:rPr>
  </w:style>
  <w:style w:type="paragraph" w:customStyle="1" w:styleId="Text-boxed">
    <w:name w:val="Text - boxed"/>
    <w:basedOn w:val="ParagraphText-unnumbered"/>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qFormat/>
    <w:rsid w:val="0008385D"/>
    <w:pPr>
      <w:tabs>
        <w:tab w:val="right" w:leader="dot" w:pos="9639"/>
      </w:tabs>
      <w:spacing w:after="100"/>
      <w:ind w:left="221"/>
    </w:pPr>
    <w:rPr>
      <w:noProof/>
    </w:rPr>
  </w:style>
  <w:style w:type="paragraph" w:customStyle="1" w:styleId="Bullet-sub">
    <w:name w:val="Bullet-sub"/>
    <w:uiPriority w:val="1"/>
    <w:qFormat/>
    <w:rsid w:val="00793E5B"/>
    <w:pPr>
      <w:numPr>
        <w:numId w:val="6"/>
      </w:numPr>
      <w:spacing w:after="284" w:line="324" w:lineRule="exact"/>
    </w:pPr>
    <w:rPr>
      <w:sz w:val="24"/>
    </w:rPr>
  </w:style>
  <w:style w:type="paragraph" w:customStyle="1" w:styleId="Bulletundernumberedparagraph">
    <w:name w:val="Bullet (under numbered paragraph)"/>
    <w:basedOn w:val="Bulletundernumberedlist"/>
    <w:uiPriority w:val="1"/>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greenborder">
    <w:name w:val="Boxed text - green border"/>
    <w:basedOn w:val="ParagraphText-unnumbered"/>
    <w:uiPriority w:val="1"/>
    <w:qFormat/>
    <w:rsid w:val="00D514E4"/>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unnumbered"/>
    <w:uiPriority w:val="1"/>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uiPriority w:val="1"/>
    <w:qFormat/>
    <w:rsid w:val="00D514E4"/>
    <w:pPr>
      <w:spacing w:line="324" w:lineRule="exact"/>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unnumbered"/>
    <w:uiPriority w:val="1"/>
    <w:qFormat/>
    <w:rsid w:val="00CF3221"/>
    <w:pPr>
      <w:numPr>
        <w:numId w:val="37"/>
      </w:numPr>
    </w:pPr>
  </w:style>
  <w:style w:type="table" w:customStyle="1" w:styleId="DHSCtable">
    <w:name w:val="DHSC table"/>
    <w:basedOn w:val="TableNormal"/>
    <w:uiPriority w:val="99"/>
    <w:rsid w:val="000A3EAD"/>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Segoe UI" w:hAnsi="Segoe UI"/>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rsid w:val="00D979D8"/>
    <w:pPr>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styleId="ListParagraph">
    <w:name w:val="List Paragraph"/>
    <w:aliases w:val="Recommendatio,Párrafo de lista,Recommendation,OBC Bullet,Dot pt,F5 List Paragraph,List Paragraph1,No Spacing1,List Paragraph Char Char Char,Indicator Text,Colorful List - Accent 11,Numbered Para 1,Bullet 1,Bullet Points,List Paragraph2,L"/>
    <w:basedOn w:val="Normal"/>
    <w:uiPriority w:val="34"/>
    <w:qFormat/>
    <w:rsid w:val="004170AE"/>
    <w:pPr>
      <w:spacing w:after="240"/>
      <w:ind w:left="720"/>
      <w:contextualSpacing/>
    </w:pPr>
  </w:style>
  <w:style w:type="character" w:styleId="CommentReference">
    <w:name w:val="annotation reference"/>
    <w:basedOn w:val="DefaultParagraphFont"/>
    <w:uiPriority w:val="99"/>
    <w:semiHidden/>
    <w:rsid w:val="00C410A8"/>
    <w:rPr>
      <w:sz w:val="16"/>
      <w:szCs w:val="16"/>
    </w:rPr>
  </w:style>
  <w:style w:type="paragraph" w:styleId="CommentText">
    <w:name w:val="annotation text"/>
    <w:basedOn w:val="Normal"/>
    <w:link w:val="CommentTextChar"/>
    <w:uiPriority w:val="99"/>
    <w:rsid w:val="00C410A8"/>
    <w:rPr>
      <w:sz w:val="20"/>
    </w:rPr>
  </w:style>
  <w:style w:type="character" w:customStyle="1" w:styleId="CommentTextChar">
    <w:name w:val="Comment Text Char"/>
    <w:basedOn w:val="DefaultParagraphFont"/>
    <w:link w:val="CommentText"/>
    <w:uiPriority w:val="99"/>
    <w:rsid w:val="00C410A8"/>
  </w:style>
  <w:style w:type="paragraph" w:styleId="CommentSubject">
    <w:name w:val="annotation subject"/>
    <w:basedOn w:val="CommentText"/>
    <w:next w:val="CommentText"/>
    <w:link w:val="CommentSubjectChar"/>
    <w:uiPriority w:val="99"/>
    <w:semiHidden/>
    <w:rsid w:val="00C410A8"/>
    <w:rPr>
      <w:b/>
      <w:bCs/>
    </w:rPr>
  </w:style>
  <w:style w:type="character" w:customStyle="1" w:styleId="CommentSubjectChar">
    <w:name w:val="Comment Subject Char"/>
    <w:basedOn w:val="CommentTextChar"/>
    <w:link w:val="CommentSubject"/>
    <w:uiPriority w:val="99"/>
    <w:semiHidden/>
    <w:rsid w:val="00C410A8"/>
    <w:rPr>
      <w:b/>
      <w:bCs/>
    </w:rPr>
  </w:style>
  <w:style w:type="character" w:styleId="Mention">
    <w:name w:val="Mention"/>
    <w:basedOn w:val="DefaultParagraphFont"/>
    <w:uiPriority w:val="99"/>
    <w:unhideWhenUsed/>
    <w:rsid w:val="00AD01E4"/>
    <w:rPr>
      <w:color w:val="2B579A"/>
      <w:shd w:val="clear" w:color="auto" w:fill="E1DFDD"/>
    </w:rPr>
  </w:style>
  <w:style w:type="paragraph" w:styleId="Revision">
    <w:name w:val="Revision"/>
    <w:hidden/>
    <w:uiPriority w:val="99"/>
    <w:semiHidden/>
    <w:rsid w:val="00A26977"/>
    <w:rPr>
      <w:sz w:val="24"/>
    </w:rPr>
  </w:style>
  <w:style w:type="table" w:styleId="TableGridLight">
    <w:name w:val="Grid Table Light"/>
    <w:basedOn w:val="TableNormal"/>
    <w:uiPriority w:val="40"/>
    <w:rsid w:val="000750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HSCtable1">
    <w:name w:val="DHSC table1"/>
    <w:basedOn w:val="TableNormal"/>
    <w:uiPriority w:val="99"/>
    <w:rsid w:val="00317B47"/>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Yu Mincho" w:hAnsi="Yu Mincho"/>
        <w:b/>
        <w:caps w:val="0"/>
        <w:smallCaps w:val="0"/>
        <w:strike w:val="0"/>
        <w:dstrike w:val="0"/>
        <w:vanish w:val="0"/>
        <w:sz w:val="24"/>
        <w:vertAlign w:val="baseline"/>
      </w:rPr>
      <w:tblPr/>
      <w:trPr>
        <w:tblHeader/>
      </w:trPr>
    </w:tblStylePr>
  </w:style>
  <w:style w:type="table" w:customStyle="1" w:styleId="TableGrid1">
    <w:name w:val="Table Grid1"/>
    <w:basedOn w:val="TableNormal"/>
    <w:next w:val="TableGrid"/>
    <w:uiPriority w:val="39"/>
    <w:rsid w:val="00F46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579">
      <w:bodyDiv w:val="1"/>
      <w:marLeft w:val="0"/>
      <w:marRight w:val="0"/>
      <w:marTop w:val="0"/>
      <w:marBottom w:val="0"/>
      <w:divBdr>
        <w:top w:val="none" w:sz="0" w:space="0" w:color="auto"/>
        <w:left w:val="none" w:sz="0" w:space="0" w:color="auto"/>
        <w:bottom w:val="none" w:sz="0" w:space="0" w:color="auto"/>
        <w:right w:val="none" w:sz="0" w:space="0" w:color="auto"/>
      </w:divBdr>
      <w:divsChild>
        <w:div w:id="156650518">
          <w:marLeft w:val="0"/>
          <w:marRight w:val="0"/>
          <w:marTop w:val="0"/>
          <w:marBottom w:val="0"/>
          <w:divBdr>
            <w:top w:val="none" w:sz="0" w:space="0" w:color="auto"/>
            <w:left w:val="none" w:sz="0" w:space="0" w:color="auto"/>
            <w:bottom w:val="none" w:sz="0" w:space="0" w:color="auto"/>
            <w:right w:val="none" w:sz="0" w:space="0" w:color="auto"/>
          </w:divBdr>
        </w:div>
      </w:divsChild>
    </w:div>
    <w:div w:id="63065447">
      <w:bodyDiv w:val="1"/>
      <w:marLeft w:val="0"/>
      <w:marRight w:val="0"/>
      <w:marTop w:val="0"/>
      <w:marBottom w:val="0"/>
      <w:divBdr>
        <w:top w:val="none" w:sz="0" w:space="0" w:color="auto"/>
        <w:left w:val="none" w:sz="0" w:space="0" w:color="auto"/>
        <w:bottom w:val="none" w:sz="0" w:space="0" w:color="auto"/>
        <w:right w:val="none" w:sz="0" w:space="0" w:color="auto"/>
      </w:divBdr>
      <w:divsChild>
        <w:div w:id="1728411773">
          <w:marLeft w:val="0"/>
          <w:marRight w:val="0"/>
          <w:marTop w:val="0"/>
          <w:marBottom w:val="0"/>
          <w:divBdr>
            <w:top w:val="none" w:sz="0" w:space="0" w:color="auto"/>
            <w:left w:val="none" w:sz="0" w:space="0" w:color="auto"/>
            <w:bottom w:val="none" w:sz="0" w:space="0" w:color="auto"/>
            <w:right w:val="none" w:sz="0" w:space="0" w:color="auto"/>
          </w:divBdr>
        </w:div>
      </w:divsChild>
    </w:div>
    <w:div w:id="77020815">
      <w:bodyDiv w:val="1"/>
      <w:marLeft w:val="0"/>
      <w:marRight w:val="0"/>
      <w:marTop w:val="0"/>
      <w:marBottom w:val="0"/>
      <w:divBdr>
        <w:top w:val="none" w:sz="0" w:space="0" w:color="auto"/>
        <w:left w:val="none" w:sz="0" w:space="0" w:color="auto"/>
        <w:bottom w:val="none" w:sz="0" w:space="0" w:color="auto"/>
        <w:right w:val="none" w:sz="0" w:space="0" w:color="auto"/>
      </w:divBdr>
      <w:divsChild>
        <w:div w:id="1728406929">
          <w:marLeft w:val="0"/>
          <w:marRight w:val="0"/>
          <w:marTop w:val="0"/>
          <w:marBottom w:val="0"/>
          <w:divBdr>
            <w:top w:val="none" w:sz="0" w:space="0" w:color="auto"/>
            <w:left w:val="none" w:sz="0" w:space="0" w:color="auto"/>
            <w:bottom w:val="none" w:sz="0" w:space="0" w:color="auto"/>
            <w:right w:val="none" w:sz="0" w:space="0" w:color="auto"/>
          </w:divBdr>
        </w:div>
      </w:divsChild>
    </w:div>
    <w:div w:id="80489961">
      <w:bodyDiv w:val="1"/>
      <w:marLeft w:val="0"/>
      <w:marRight w:val="0"/>
      <w:marTop w:val="0"/>
      <w:marBottom w:val="0"/>
      <w:divBdr>
        <w:top w:val="none" w:sz="0" w:space="0" w:color="auto"/>
        <w:left w:val="none" w:sz="0" w:space="0" w:color="auto"/>
        <w:bottom w:val="none" w:sz="0" w:space="0" w:color="auto"/>
        <w:right w:val="none" w:sz="0" w:space="0" w:color="auto"/>
      </w:divBdr>
    </w:div>
    <w:div w:id="140003399">
      <w:bodyDiv w:val="1"/>
      <w:marLeft w:val="0"/>
      <w:marRight w:val="0"/>
      <w:marTop w:val="0"/>
      <w:marBottom w:val="0"/>
      <w:divBdr>
        <w:top w:val="none" w:sz="0" w:space="0" w:color="auto"/>
        <w:left w:val="none" w:sz="0" w:space="0" w:color="auto"/>
        <w:bottom w:val="none" w:sz="0" w:space="0" w:color="auto"/>
        <w:right w:val="none" w:sz="0" w:space="0" w:color="auto"/>
      </w:divBdr>
      <w:divsChild>
        <w:div w:id="2096977339">
          <w:marLeft w:val="0"/>
          <w:marRight w:val="0"/>
          <w:marTop w:val="0"/>
          <w:marBottom w:val="0"/>
          <w:divBdr>
            <w:top w:val="none" w:sz="0" w:space="0" w:color="auto"/>
            <w:left w:val="none" w:sz="0" w:space="0" w:color="auto"/>
            <w:bottom w:val="none" w:sz="0" w:space="0" w:color="auto"/>
            <w:right w:val="none" w:sz="0" w:space="0" w:color="auto"/>
          </w:divBdr>
        </w:div>
      </w:divsChild>
    </w:div>
    <w:div w:id="178274508">
      <w:bodyDiv w:val="1"/>
      <w:marLeft w:val="0"/>
      <w:marRight w:val="0"/>
      <w:marTop w:val="0"/>
      <w:marBottom w:val="0"/>
      <w:divBdr>
        <w:top w:val="none" w:sz="0" w:space="0" w:color="auto"/>
        <w:left w:val="none" w:sz="0" w:space="0" w:color="auto"/>
        <w:bottom w:val="none" w:sz="0" w:space="0" w:color="auto"/>
        <w:right w:val="none" w:sz="0" w:space="0" w:color="auto"/>
      </w:divBdr>
      <w:divsChild>
        <w:div w:id="912736681">
          <w:marLeft w:val="0"/>
          <w:marRight w:val="0"/>
          <w:marTop w:val="0"/>
          <w:marBottom w:val="0"/>
          <w:divBdr>
            <w:top w:val="none" w:sz="0" w:space="0" w:color="auto"/>
            <w:left w:val="none" w:sz="0" w:space="0" w:color="auto"/>
            <w:bottom w:val="none" w:sz="0" w:space="0" w:color="auto"/>
            <w:right w:val="none" w:sz="0" w:space="0" w:color="auto"/>
          </w:divBdr>
        </w:div>
      </w:divsChild>
    </w:div>
    <w:div w:id="322704658">
      <w:bodyDiv w:val="1"/>
      <w:marLeft w:val="0"/>
      <w:marRight w:val="0"/>
      <w:marTop w:val="0"/>
      <w:marBottom w:val="0"/>
      <w:divBdr>
        <w:top w:val="none" w:sz="0" w:space="0" w:color="auto"/>
        <w:left w:val="none" w:sz="0" w:space="0" w:color="auto"/>
        <w:bottom w:val="none" w:sz="0" w:space="0" w:color="auto"/>
        <w:right w:val="none" w:sz="0" w:space="0" w:color="auto"/>
      </w:divBdr>
    </w:div>
    <w:div w:id="489833241">
      <w:bodyDiv w:val="1"/>
      <w:marLeft w:val="0"/>
      <w:marRight w:val="0"/>
      <w:marTop w:val="0"/>
      <w:marBottom w:val="0"/>
      <w:divBdr>
        <w:top w:val="none" w:sz="0" w:space="0" w:color="auto"/>
        <w:left w:val="none" w:sz="0" w:space="0" w:color="auto"/>
        <w:bottom w:val="none" w:sz="0" w:space="0" w:color="auto"/>
        <w:right w:val="none" w:sz="0" w:space="0" w:color="auto"/>
      </w:divBdr>
      <w:divsChild>
        <w:div w:id="286352852">
          <w:marLeft w:val="0"/>
          <w:marRight w:val="0"/>
          <w:marTop w:val="0"/>
          <w:marBottom w:val="0"/>
          <w:divBdr>
            <w:top w:val="none" w:sz="0" w:space="0" w:color="auto"/>
            <w:left w:val="none" w:sz="0" w:space="0" w:color="auto"/>
            <w:bottom w:val="none" w:sz="0" w:space="0" w:color="auto"/>
            <w:right w:val="none" w:sz="0" w:space="0" w:color="auto"/>
          </w:divBdr>
        </w:div>
      </w:divsChild>
    </w:div>
    <w:div w:id="519588859">
      <w:bodyDiv w:val="1"/>
      <w:marLeft w:val="0"/>
      <w:marRight w:val="0"/>
      <w:marTop w:val="0"/>
      <w:marBottom w:val="0"/>
      <w:divBdr>
        <w:top w:val="none" w:sz="0" w:space="0" w:color="auto"/>
        <w:left w:val="none" w:sz="0" w:space="0" w:color="auto"/>
        <w:bottom w:val="none" w:sz="0" w:space="0" w:color="auto"/>
        <w:right w:val="none" w:sz="0" w:space="0" w:color="auto"/>
      </w:divBdr>
    </w:div>
    <w:div w:id="519903234">
      <w:bodyDiv w:val="1"/>
      <w:marLeft w:val="0"/>
      <w:marRight w:val="0"/>
      <w:marTop w:val="0"/>
      <w:marBottom w:val="0"/>
      <w:divBdr>
        <w:top w:val="none" w:sz="0" w:space="0" w:color="auto"/>
        <w:left w:val="none" w:sz="0" w:space="0" w:color="auto"/>
        <w:bottom w:val="none" w:sz="0" w:space="0" w:color="auto"/>
        <w:right w:val="none" w:sz="0" w:space="0" w:color="auto"/>
      </w:divBdr>
      <w:divsChild>
        <w:div w:id="2015108609">
          <w:marLeft w:val="0"/>
          <w:marRight w:val="0"/>
          <w:marTop w:val="0"/>
          <w:marBottom w:val="0"/>
          <w:divBdr>
            <w:top w:val="none" w:sz="0" w:space="0" w:color="auto"/>
            <w:left w:val="none" w:sz="0" w:space="0" w:color="auto"/>
            <w:bottom w:val="none" w:sz="0" w:space="0" w:color="auto"/>
            <w:right w:val="none" w:sz="0" w:space="0" w:color="auto"/>
          </w:divBdr>
        </w:div>
      </w:divsChild>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68869590">
      <w:bodyDiv w:val="1"/>
      <w:marLeft w:val="0"/>
      <w:marRight w:val="0"/>
      <w:marTop w:val="0"/>
      <w:marBottom w:val="0"/>
      <w:divBdr>
        <w:top w:val="none" w:sz="0" w:space="0" w:color="auto"/>
        <w:left w:val="none" w:sz="0" w:space="0" w:color="auto"/>
        <w:bottom w:val="none" w:sz="0" w:space="0" w:color="auto"/>
        <w:right w:val="none" w:sz="0" w:space="0" w:color="auto"/>
      </w:divBdr>
    </w:div>
    <w:div w:id="682515855">
      <w:bodyDiv w:val="1"/>
      <w:marLeft w:val="0"/>
      <w:marRight w:val="0"/>
      <w:marTop w:val="0"/>
      <w:marBottom w:val="0"/>
      <w:divBdr>
        <w:top w:val="none" w:sz="0" w:space="0" w:color="auto"/>
        <w:left w:val="none" w:sz="0" w:space="0" w:color="auto"/>
        <w:bottom w:val="none" w:sz="0" w:space="0" w:color="auto"/>
        <w:right w:val="none" w:sz="0" w:space="0" w:color="auto"/>
      </w:divBdr>
      <w:divsChild>
        <w:div w:id="1836648443">
          <w:marLeft w:val="0"/>
          <w:marRight w:val="0"/>
          <w:marTop w:val="0"/>
          <w:marBottom w:val="0"/>
          <w:divBdr>
            <w:top w:val="none" w:sz="0" w:space="0" w:color="auto"/>
            <w:left w:val="none" w:sz="0" w:space="0" w:color="auto"/>
            <w:bottom w:val="none" w:sz="0" w:space="0" w:color="auto"/>
            <w:right w:val="none" w:sz="0" w:space="0" w:color="auto"/>
          </w:divBdr>
        </w:div>
      </w:divsChild>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904146718">
      <w:bodyDiv w:val="1"/>
      <w:marLeft w:val="0"/>
      <w:marRight w:val="0"/>
      <w:marTop w:val="0"/>
      <w:marBottom w:val="0"/>
      <w:divBdr>
        <w:top w:val="none" w:sz="0" w:space="0" w:color="auto"/>
        <w:left w:val="none" w:sz="0" w:space="0" w:color="auto"/>
        <w:bottom w:val="none" w:sz="0" w:space="0" w:color="auto"/>
        <w:right w:val="none" w:sz="0" w:space="0" w:color="auto"/>
      </w:divBdr>
      <w:divsChild>
        <w:div w:id="283073451">
          <w:marLeft w:val="360"/>
          <w:marRight w:val="0"/>
          <w:marTop w:val="200"/>
          <w:marBottom w:val="0"/>
          <w:divBdr>
            <w:top w:val="none" w:sz="0" w:space="0" w:color="auto"/>
            <w:left w:val="none" w:sz="0" w:space="0" w:color="auto"/>
            <w:bottom w:val="none" w:sz="0" w:space="0" w:color="auto"/>
            <w:right w:val="none" w:sz="0" w:space="0" w:color="auto"/>
          </w:divBdr>
        </w:div>
        <w:div w:id="1023362430">
          <w:marLeft w:val="360"/>
          <w:marRight w:val="0"/>
          <w:marTop w:val="200"/>
          <w:marBottom w:val="0"/>
          <w:divBdr>
            <w:top w:val="none" w:sz="0" w:space="0" w:color="auto"/>
            <w:left w:val="none" w:sz="0" w:space="0" w:color="auto"/>
            <w:bottom w:val="none" w:sz="0" w:space="0" w:color="auto"/>
            <w:right w:val="none" w:sz="0" w:space="0" w:color="auto"/>
          </w:divBdr>
        </w:div>
        <w:div w:id="1068648351">
          <w:marLeft w:val="360"/>
          <w:marRight w:val="0"/>
          <w:marTop w:val="200"/>
          <w:marBottom w:val="0"/>
          <w:divBdr>
            <w:top w:val="none" w:sz="0" w:space="0" w:color="auto"/>
            <w:left w:val="none" w:sz="0" w:space="0" w:color="auto"/>
            <w:bottom w:val="none" w:sz="0" w:space="0" w:color="auto"/>
            <w:right w:val="none" w:sz="0" w:space="0" w:color="auto"/>
          </w:divBdr>
        </w:div>
        <w:div w:id="1106997980">
          <w:marLeft w:val="360"/>
          <w:marRight w:val="0"/>
          <w:marTop w:val="200"/>
          <w:marBottom w:val="0"/>
          <w:divBdr>
            <w:top w:val="none" w:sz="0" w:space="0" w:color="auto"/>
            <w:left w:val="none" w:sz="0" w:space="0" w:color="auto"/>
            <w:bottom w:val="none" w:sz="0" w:space="0" w:color="auto"/>
            <w:right w:val="none" w:sz="0" w:space="0" w:color="auto"/>
          </w:divBdr>
        </w:div>
      </w:divsChild>
    </w:div>
    <w:div w:id="1015040476">
      <w:bodyDiv w:val="1"/>
      <w:marLeft w:val="0"/>
      <w:marRight w:val="0"/>
      <w:marTop w:val="0"/>
      <w:marBottom w:val="0"/>
      <w:divBdr>
        <w:top w:val="none" w:sz="0" w:space="0" w:color="auto"/>
        <w:left w:val="none" w:sz="0" w:space="0" w:color="auto"/>
        <w:bottom w:val="none" w:sz="0" w:space="0" w:color="auto"/>
        <w:right w:val="none" w:sz="0" w:space="0" w:color="auto"/>
      </w:divBdr>
    </w:div>
    <w:div w:id="1158616662">
      <w:bodyDiv w:val="1"/>
      <w:marLeft w:val="0"/>
      <w:marRight w:val="0"/>
      <w:marTop w:val="0"/>
      <w:marBottom w:val="0"/>
      <w:divBdr>
        <w:top w:val="none" w:sz="0" w:space="0" w:color="auto"/>
        <w:left w:val="none" w:sz="0" w:space="0" w:color="auto"/>
        <w:bottom w:val="none" w:sz="0" w:space="0" w:color="auto"/>
        <w:right w:val="none" w:sz="0" w:space="0" w:color="auto"/>
      </w:divBdr>
      <w:divsChild>
        <w:div w:id="138035430">
          <w:marLeft w:val="0"/>
          <w:marRight w:val="0"/>
          <w:marTop w:val="0"/>
          <w:marBottom w:val="0"/>
          <w:divBdr>
            <w:top w:val="none" w:sz="0" w:space="0" w:color="auto"/>
            <w:left w:val="none" w:sz="0" w:space="0" w:color="auto"/>
            <w:bottom w:val="none" w:sz="0" w:space="0" w:color="auto"/>
            <w:right w:val="none" w:sz="0" w:space="0" w:color="auto"/>
          </w:divBdr>
        </w:div>
      </w:divsChild>
    </w:div>
    <w:div w:id="1194925775">
      <w:bodyDiv w:val="1"/>
      <w:marLeft w:val="0"/>
      <w:marRight w:val="0"/>
      <w:marTop w:val="0"/>
      <w:marBottom w:val="0"/>
      <w:divBdr>
        <w:top w:val="none" w:sz="0" w:space="0" w:color="auto"/>
        <w:left w:val="none" w:sz="0" w:space="0" w:color="auto"/>
        <w:bottom w:val="none" w:sz="0" w:space="0" w:color="auto"/>
        <w:right w:val="none" w:sz="0" w:space="0" w:color="auto"/>
      </w:divBdr>
    </w:div>
    <w:div w:id="1215386674">
      <w:bodyDiv w:val="1"/>
      <w:marLeft w:val="0"/>
      <w:marRight w:val="0"/>
      <w:marTop w:val="0"/>
      <w:marBottom w:val="0"/>
      <w:divBdr>
        <w:top w:val="none" w:sz="0" w:space="0" w:color="auto"/>
        <w:left w:val="none" w:sz="0" w:space="0" w:color="auto"/>
        <w:bottom w:val="none" w:sz="0" w:space="0" w:color="auto"/>
        <w:right w:val="none" w:sz="0" w:space="0" w:color="auto"/>
      </w:divBdr>
      <w:divsChild>
        <w:div w:id="108858424">
          <w:marLeft w:val="0"/>
          <w:marRight w:val="0"/>
          <w:marTop w:val="0"/>
          <w:marBottom w:val="0"/>
          <w:divBdr>
            <w:top w:val="none" w:sz="0" w:space="0" w:color="auto"/>
            <w:left w:val="none" w:sz="0" w:space="0" w:color="auto"/>
            <w:bottom w:val="none" w:sz="0" w:space="0" w:color="auto"/>
            <w:right w:val="none" w:sz="0" w:space="0" w:color="auto"/>
          </w:divBdr>
        </w:div>
      </w:divsChild>
    </w:div>
    <w:div w:id="1260407865">
      <w:bodyDiv w:val="1"/>
      <w:marLeft w:val="0"/>
      <w:marRight w:val="0"/>
      <w:marTop w:val="0"/>
      <w:marBottom w:val="0"/>
      <w:divBdr>
        <w:top w:val="none" w:sz="0" w:space="0" w:color="auto"/>
        <w:left w:val="none" w:sz="0" w:space="0" w:color="auto"/>
        <w:bottom w:val="none" w:sz="0" w:space="0" w:color="auto"/>
        <w:right w:val="none" w:sz="0" w:space="0" w:color="auto"/>
      </w:divBdr>
      <w:divsChild>
        <w:div w:id="49765548">
          <w:marLeft w:val="0"/>
          <w:marRight w:val="0"/>
          <w:marTop w:val="0"/>
          <w:marBottom w:val="0"/>
          <w:divBdr>
            <w:top w:val="none" w:sz="0" w:space="0" w:color="auto"/>
            <w:left w:val="none" w:sz="0" w:space="0" w:color="auto"/>
            <w:bottom w:val="none" w:sz="0" w:space="0" w:color="auto"/>
            <w:right w:val="none" w:sz="0" w:space="0" w:color="auto"/>
          </w:divBdr>
        </w:div>
      </w:divsChild>
    </w:div>
    <w:div w:id="1427771901">
      <w:bodyDiv w:val="1"/>
      <w:marLeft w:val="0"/>
      <w:marRight w:val="0"/>
      <w:marTop w:val="0"/>
      <w:marBottom w:val="0"/>
      <w:divBdr>
        <w:top w:val="none" w:sz="0" w:space="0" w:color="auto"/>
        <w:left w:val="none" w:sz="0" w:space="0" w:color="auto"/>
        <w:bottom w:val="none" w:sz="0" w:space="0" w:color="auto"/>
        <w:right w:val="none" w:sz="0" w:space="0" w:color="auto"/>
      </w:divBdr>
    </w:div>
    <w:div w:id="1433470267">
      <w:bodyDiv w:val="1"/>
      <w:marLeft w:val="0"/>
      <w:marRight w:val="0"/>
      <w:marTop w:val="0"/>
      <w:marBottom w:val="0"/>
      <w:divBdr>
        <w:top w:val="none" w:sz="0" w:space="0" w:color="auto"/>
        <w:left w:val="none" w:sz="0" w:space="0" w:color="auto"/>
        <w:bottom w:val="none" w:sz="0" w:space="0" w:color="auto"/>
        <w:right w:val="none" w:sz="0" w:space="0" w:color="auto"/>
      </w:divBdr>
      <w:divsChild>
        <w:div w:id="45955729">
          <w:marLeft w:val="0"/>
          <w:marRight w:val="0"/>
          <w:marTop w:val="0"/>
          <w:marBottom w:val="0"/>
          <w:divBdr>
            <w:top w:val="none" w:sz="0" w:space="0" w:color="auto"/>
            <w:left w:val="none" w:sz="0" w:space="0" w:color="auto"/>
            <w:bottom w:val="none" w:sz="0" w:space="0" w:color="auto"/>
            <w:right w:val="none" w:sz="0" w:space="0" w:color="auto"/>
          </w:divBdr>
        </w:div>
      </w:divsChild>
    </w:div>
    <w:div w:id="1441951137">
      <w:bodyDiv w:val="1"/>
      <w:marLeft w:val="0"/>
      <w:marRight w:val="0"/>
      <w:marTop w:val="0"/>
      <w:marBottom w:val="0"/>
      <w:divBdr>
        <w:top w:val="none" w:sz="0" w:space="0" w:color="auto"/>
        <w:left w:val="none" w:sz="0" w:space="0" w:color="auto"/>
        <w:bottom w:val="none" w:sz="0" w:space="0" w:color="auto"/>
        <w:right w:val="none" w:sz="0" w:space="0" w:color="auto"/>
      </w:divBdr>
      <w:divsChild>
        <w:div w:id="2113890810">
          <w:marLeft w:val="0"/>
          <w:marRight w:val="0"/>
          <w:marTop w:val="0"/>
          <w:marBottom w:val="0"/>
          <w:divBdr>
            <w:top w:val="none" w:sz="0" w:space="0" w:color="auto"/>
            <w:left w:val="none" w:sz="0" w:space="0" w:color="auto"/>
            <w:bottom w:val="none" w:sz="0" w:space="0" w:color="auto"/>
            <w:right w:val="none" w:sz="0" w:space="0" w:color="auto"/>
          </w:divBdr>
        </w:div>
      </w:divsChild>
    </w:div>
    <w:div w:id="1471747382">
      <w:bodyDiv w:val="1"/>
      <w:marLeft w:val="0"/>
      <w:marRight w:val="0"/>
      <w:marTop w:val="0"/>
      <w:marBottom w:val="0"/>
      <w:divBdr>
        <w:top w:val="none" w:sz="0" w:space="0" w:color="auto"/>
        <w:left w:val="none" w:sz="0" w:space="0" w:color="auto"/>
        <w:bottom w:val="none" w:sz="0" w:space="0" w:color="auto"/>
        <w:right w:val="none" w:sz="0" w:space="0" w:color="auto"/>
      </w:divBdr>
      <w:divsChild>
        <w:div w:id="58674787">
          <w:marLeft w:val="0"/>
          <w:marRight w:val="0"/>
          <w:marTop w:val="0"/>
          <w:marBottom w:val="0"/>
          <w:divBdr>
            <w:top w:val="none" w:sz="0" w:space="0" w:color="auto"/>
            <w:left w:val="none" w:sz="0" w:space="0" w:color="auto"/>
            <w:bottom w:val="none" w:sz="0" w:space="0" w:color="auto"/>
            <w:right w:val="none" w:sz="0" w:space="0" w:color="auto"/>
          </w:divBdr>
        </w:div>
      </w:divsChild>
    </w:div>
    <w:div w:id="1631477105">
      <w:bodyDiv w:val="1"/>
      <w:marLeft w:val="0"/>
      <w:marRight w:val="0"/>
      <w:marTop w:val="0"/>
      <w:marBottom w:val="0"/>
      <w:divBdr>
        <w:top w:val="none" w:sz="0" w:space="0" w:color="auto"/>
        <w:left w:val="none" w:sz="0" w:space="0" w:color="auto"/>
        <w:bottom w:val="none" w:sz="0" w:space="0" w:color="auto"/>
        <w:right w:val="none" w:sz="0" w:space="0" w:color="auto"/>
      </w:divBdr>
      <w:divsChild>
        <w:div w:id="703017343">
          <w:marLeft w:val="0"/>
          <w:marRight w:val="0"/>
          <w:marTop w:val="0"/>
          <w:marBottom w:val="0"/>
          <w:divBdr>
            <w:top w:val="none" w:sz="0" w:space="0" w:color="auto"/>
            <w:left w:val="none" w:sz="0" w:space="0" w:color="auto"/>
            <w:bottom w:val="none" w:sz="0" w:space="0" w:color="auto"/>
            <w:right w:val="none" w:sz="0" w:space="0" w:color="auto"/>
          </w:divBdr>
        </w:div>
      </w:divsChild>
    </w:div>
    <w:div w:id="1710304745">
      <w:bodyDiv w:val="1"/>
      <w:marLeft w:val="0"/>
      <w:marRight w:val="0"/>
      <w:marTop w:val="0"/>
      <w:marBottom w:val="0"/>
      <w:divBdr>
        <w:top w:val="none" w:sz="0" w:space="0" w:color="auto"/>
        <w:left w:val="none" w:sz="0" w:space="0" w:color="auto"/>
        <w:bottom w:val="none" w:sz="0" w:space="0" w:color="auto"/>
        <w:right w:val="none" w:sz="0" w:space="0" w:color="auto"/>
      </w:divBdr>
      <w:divsChild>
        <w:div w:id="1777673288">
          <w:marLeft w:val="0"/>
          <w:marRight w:val="0"/>
          <w:marTop w:val="0"/>
          <w:marBottom w:val="0"/>
          <w:divBdr>
            <w:top w:val="none" w:sz="0" w:space="0" w:color="auto"/>
            <w:left w:val="none" w:sz="0" w:space="0" w:color="auto"/>
            <w:bottom w:val="none" w:sz="0" w:space="0" w:color="auto"/>
            <w:right w:val="none" w:sz="0" w:space="0" w:color="auto"/>
          </w:divBdr>
        </w:div>
      </w:divsChild>
    </w:div>
    <w:div w:id="1792817392">
      <w:bodyDiv w:val="1"/>
      <w:marLeft w:val="0"/>
      <w:marRight w:val="0"/>
      <w:marTop w:val="0"/>
      <w:marBottom w:val="0"/>
      <w:divBdr>
        <w:top w:val="none" w:sz="0" w:space="0" w:color="auto"/>
        <w:left w:val="none" w:sz="0" w:space="0" w:color="auto"/>
        <w:bottom w:val="none" w:sz="0" w:space="0" w:color="auto"/>
        <w:right w:val="none" w:sz="0" w:space="0" w:color="auto"/>
      </w:divBdr>
      <w:divsChild>
        <w:div w:id="1298100341">
          <w:marLeft w:val="0"/>
          <w:marRight w:val="0"/>
          <w:marTop w:val="0"/>
          <w:marBottom w:val="0"/>
          <w:divBdr>
            <w:top w:val="none" w:sz="0" w:space="0" w:color="auto"/>
            <w:left w:val="none" w:sz="0" w:space="0" w:color="auto"/>
            <w:bottom w:val="none" w:sz="0" w:space="0" w:color="auto"/>
            <w:right w:val="none" w:sz="0" w:space="0" w:color="auto"/>
          </w:divBdr>
        </w:div>
      </w:divsChild>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47397978">
      <w:bodyDiv w:val="1"/>
      <w:marLeft w:val="0"/>
      <w:marRight w:val="0"/>
      <w:marTop w:val="0"/>
      <w:marBottom w:val="0"/>
      <w:divBdr>
        <w:top w:val="none" w:sz="0" w:space="0" w:color="auto"/>
        <w:left w:val="none" w:sz="0" w:space="0" w:color="auto"/>
        <w:bottom w:val="none" w:sz="0" w:space="0" w:color="auto"/>
        <w:right w:val="none" w:sz="0" w:space="0" w:color="auto"/>
      </w:divBdr>
      <w:divsChild>
        <w:div w:id="1596550865">
          <w:marLeft w:val="0"/>
          <w:marRight w:val="0"/>
          <w:marTop w:val="0"/>
          <w:marBottom w:val="0"/>
          <w:divBdr>
            <w:top w:val="none" w:sz="0" w:space="0" w:color="auto"/>
            <w:left w:val="none" w:sz="0" w:space="0" w:color="auto"/>
            <w:bottom w:val="none" w:sz="0" w:space="0" w:color="auto"/>
            <w:right w:val="none" w:sz="0" w:space="0" w:color="auto"/>
          </w:divBdr>
        </w:div>
      </w:divsChild>
    </w:div>
    <w:div w:id="1872112657">
      <w:bodyDiv w:val="1"/>
      <w:marLeft w:val="0"/>
      <w:marRight w:val="0"/>
      <w:marTop w:val="0"/>
      <w:marBottom w:val="0"/>
      <w:divBdr>
        <w:top w:val="none" w:sz="0" w:space="0" w:color="auto"/>
        <w:left w:val="none" w:sz="0" w:space="0" w:color="auto"/>
        <w:bottom w:val="none" w:sz="0" w:space="0" w:color="auto"/>
        <w:right w:val="none" w:sz="0" w:space="0" w:color="auto"/>
      </w:divBdr>
      <w:divsChild>
        <w:div w:id="1140879621">
          <w:marLeft w:val="0"/>
          <w:marRight w:val="0"/>
          <w:marTop w:val="0"/>
          <w:marBottom w:val="0"/>
          <w:divBdr>
            <w:top w:val="none" w:sz="0" w:space="0" w:color="auto"/>
            <w:left w:val="none" w:sz="0" w:space="0" w:color="auto"/>
            <w:bottom w:val="none" w:sz="0" w:space="0" w:color="auto"/>
            <w:right w:val="none" w:sz="0" w:space="0" w:color="auto"/>
          </w:divBdr>
        </w:div>
      </w:divsChild>
    </w:div>
    <w:div w:id="1876119668">
      <w:bodyDiv w:val="1"/>
      <w:marLeft w:val="0"/>
      <w:marRight w:val="0"/>
      <w:marTop w:val="0"/>
      <w:marBottom w:val="0"/>
      <w:divBdr>
        <w:top w:val="none" w:sz="0" w:space="0" w:color="auto"/>
        <w:left w:val="none" w:sz="0" w:space="0" w:color="auto"/>
        <w:bottom w:val="none" w:sz="0" w:space="0" w:color="auto"/>
        <w:right w:val="none" w:sz="0" w:space="0" w:color="auto"/>
      </w:divBdr>
      <w:divsChild>
        <w:div w:id="224800080">
          <w:marLeft w:val="1080"/>
          <w:marRight w:val="0"/>
          <w:marTop w:val="100"/>
          <w:marBottom w:val="0"/>
          <w:divBdr>
            <w:top w:val="none" w:sz="0" w:space="0" w:color="auto"/>
            <w:left w:val="none" w:sz="0" w:space="0" w:color="auto"/>
            <w:bottom w:val="none" w:sz="0" w:space="0" w:color="auto"/>
            <w:right w:val="none" w:sz="0" w:space="0" w:color="auto"/>
          </w:divBdr>
        </w:div>
        <w:div w:id="366835233">
          <w:marLeft w:val="1080"/>
          <w:marRight w:val="0"/>
          <w:marTop w:val="100"/>
          <w:marBottom w:val="0"/>
          <w:divBdr>
            <w:top w:val="none" w:sz="0" w:space="0" w:color="auto"/>
            <w:left w:val="none" w:sz="0" w:space="0" w:color="auto"/>
            <w:bottom w:val="none" w:sz="0" w:space="0" w:color="auto"/>
            <w:right w:val="none" w:sz="0" w:space="0" w:color="auto"/>
          </w:divBdr>
        </w:div>
        <w:div w:id="1863661635">
          <w:marLeft w:val="1080"/>
          <w:marRight w:val="0"/>
          <w:marTop w:val="100"/>
          <w:marBottom w:val="0"/>
          <w:divBdr>
            <w:top w:val="none" w:sz="0" w:space="0" w:color="auto"/>
            <w:left w:val="none" w:sz="0" w:space="0" w:color="auto"/>
            <w:bottom w:val="none" w:sz="0" w:space="0" w:color="auto"/>
            <w:right w:val="none" w:sz="0" w:space="0" w:color="auto"/>
          </w:divBdr>
        </w:div>
      </w:divsChild>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1972051535">
      <w:bodyDiv w:val="1"/>
      <w:marLeft w:val="0"/>
      <w:marRight w:val="0"/>
      <w:marTop w:val="0"/>
      <w:marBottom w:val="0"/>
      <w:divBdr>
        <w:top w:val="none" w:sz="0" w:space="0" w:color="auto"/>
        <w:left w:val="none" w:sz="0" w:space="0" w:color="auto"/>
        <w:bottom w:val="none" w:sz="0" w:space="0" w:color="auto"/>
        <w:right w:val="none" w:sz="0" w:space="0" w:color="auto"/>
      </w:divBdr>
    </w:div>
    <w:div w:id="1972519185">
      <w:bodyDiv w:val="1"/>
      <w:marLeft w:val="0"/>
      <w:marRight w:val="0"/>
      <w:marTop w:val="0"/>
      <w:marBottom w:val="0"/>
      <w:divBdr>
        <w:top w:val="none" w:sz="0" w:space="0" w:color="auto"/>
        <w:left w:val="none" w:sz="0" w:space="0" w:color="auto"/>
        <w:bottom w:val="none" w:sz="0" w:space="0" w:color="auto"/>
        <w:right w:val="none" w:sz="0" w:space="0" w:color="auto"/>
      </w:divBdr>
      <w:divsChild>
        <w:div w:id="751901054">
          <w:marLeft w:val="0"/>
          <w:marRight w:val="0"/>
          <w:marTop w:val="0"/>
          <w:marBottom w:val="0"/>
          <w:divBdr>
            <w:top w:val="none" w:sz="0" w:space="0" w:color="auto"/>
            <w:left w:val="none" w:sz="0" w:space="0" w:color="auto"/>
            <w:bottom w:val="none" w:sz="0" w:space="0" w:color="auto"/>
            <w:right w:val="none" w:sz="0" w:space="0" w:color="auto"/>
          </w:divBdr>
        </w:div>
      </w:divsChild>
    </w:div>
    <w:div w:id="1994332077">
      <w:bodyDiv w:val="1"/>
      <w:marLeft w:val="0"/>
      <w:marRight w:val="0"/>
      <w:marTop w:val="0"/>
      <w:marBottom w:val="0"/>
      <w:divBdr>
        <w:top w:val="none" w:sz="0" w:space="0" w:color="auto"/>
        <w:left w:val="none" w:sz="0" w:space="0" w:color="auto"/>
        <w:bottom w:val="none" w:sz="0" w:space="0" w:color="auto"/>
        <w:right w:val="none" w:sz="0" w:space="0" w:color="auto"/>
      </w:divBdr>
    </w:div>
    <w:div w:id="1996449133">
      <w:bodyDiv w:val="1"/>
      <w:marLeft w:val="0"/>
      <w:marRight w:val="0"/>
      <w:marTop w:val="0"/>
      <w:marBottom w:val="0"/>
      <w:divBdr>
        <w:top w:val="none" w:sz="0" w:space="0" w:color="auto"/>
        <w:left w:val="none" w:sz="0" w:space="0" w:color="auto"/>
        <w:bottom w:val="none" w:sz="0" w:space="0" w:color="auto"/>
        <w:right w:val="none" w:sz="0" w:space="0" w:color="auto"/>
      </w:divBdr>
    </w:div>
    <w:div w:id="2024553046">
      <w:bodyDiv w:val="1"/>
      <w:marLeft w:val="0"/>
      <w:marRight w:val="0"/>
      <w:marTop w:val="0"/>
      <w:marBottom w:val="0"/>
      <w:divBdr>
        <w:top w:val="none" w:sz="0" w:space="0" w:color="auto"/>
        <w:left w:val="none" w:sz="0" w:space="0" w:color="auto"/>
        <w:bottom w:val="none" w:sz="0" w:space="0" w:color="auto"/>
        <w:right w:val="none" w:sz="0" w:space="0" w:color="auto"/>
      </w:divBdr>
      <w:divsChild>
        <w:div w:id="1659965721">
          <w:marLeft w:val="0"/>
          <w:marRight w:val="0"/>
          <w:marTop w:val="0"/>
          <w:marBottom w:val="0"/>
          <w:divBdr>
            <w:top w:val="none" w:sz="0" w:space="0" w:color="auto"/>
            <w:left w:val="none" w:sz="0" w:space="0" w:color="auto"/>
            <w:bottom w:val="none" w:sz="0" w:space="0" w:color="auto"/>
            <w:right w:val="none" w:sz="0" w:space="0" w:color="auto"/>
          </w:divBdr>
        </w:div>
      </w:divsChild>
    </w:div>
    <w:div w:id="2041738511">
      <w:bodyDiv w:val="1"/>
      <w:marLeft w:val="0"/>
      <w:marRight w:val="0"/>
      <w:marTop w:val="0"/>
      <w:marBottom w:val="0"/>
      <w:divBdr>
        <w:top w:val="none" w:sz="0" w:space="0" w:color="auto"/>
        <w:left w:val="none" w:sz="0" w:space="0" w:color="auto"/>
        <w:bottom w:val="none" w:sz="0" w:space="0" w:color="auto"/>
        <w:right w:val="none" w:sz="0" w:space="0" w:color="auto"/>
      </w:divBdr>
      <w:divsChild>
        <w:div w:id="306471212">
          <w:marLeft w:val="0"/>
          <w:marRight w:val="0"/>
          <w:marTop w:val="0"/>
          <w:marBottom w:val="0"/>
          <w:divBdr>
            <w:top w:val="none" w:sz="0" w:space="0" w:color="auto"/>
            <w:left w:val="none" w:sz="0" w:space="0" w:color="auto"/>
            <w:bottom w:val="none" w:sz="0" w:space="0" w:color="auto"/>
            <w:right w:val="none" w:sz="0" w:space="0" w:color="auto"/>
          </w:divBdr>
        </w:div>
      </w:divsChild>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 w:id="2054688951">
      <w:bodyDiv w:val="1"/>
      <w:marLeft w:val="0"/>
      <w:marRight w:val="0"/>
      <w:marTop w:val="0"/>
      <w:marBottom w:val="0"/>
      <w:divBdr>
        <w:top w:val="none" w:sz="0" w:space="0" w:color="auto"/>
        <w:left w:val="none" w:sz="0" w:space="0" w:color="auto"/>
        <w:bottom w:val="none" w:sz="0" w:space="0" w:color="auto"/>
        <w:right w:val="none" w:sz="0" w:space="0" w:color="auto"/>
      </w:divBdr>
      <w:divsChild>
        <w:div w:id="1363869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lemingfund.org/grants-funding/regional-grants/" TargetMode="External"/><Relationship Id="rId26" Type="http://schemas.openxmlformats.org/officeDocument/2006/relationships/hyperlink" Target="https://www.who.int/publications/i/item/who-integrated-global-surveillance-on-esbl-producing-e.-coli-using-a-one-health-approach" TargetMode="External"/><Relationship Id="rId39" Type="http://schemas.openxmlformats.org/officeDocument/2006/relationships/hyperlink" Target="https://www.flemingfund.org/publications/the-fleming-fund-annual-review-january-to-december-2020/" TargetMode="External"/><Relationship Id="rId3" Type="http://schemas.openxmlformats.org/officeDocument/2006/relationships/customXml" Target="../customXml/item3.xml"/><Relationship Id="rId21" Type="http://schemas.openxmlformats.org/officeDocument/2006/relationships/hyperlink" Target="https://www.who.int/publications/i/item/9789241509763" TargetMode="External"/><Relationship Id="rId34" Type="http://schemas.openxmlformats.org/officeDocument/2006/relationships/hyperlink" Target="https://eur03.safelinks.protection.outlook.com/?url=https%3A%2F%2Fwww.thelancet.com%2Fjournals%2Flanplh%2Farticle%2FPIIS2542-5196(21)00280-1%2Ffulltext&amp;data=04%7C01%7CBecca.Ketteringham%40dhsc.gov.uk%7C9c5f166af4ab43d83df508d9f15238e8%7C61278c3091a84c318c1fef4de8973a1c%7C1%7C0%7C637806157704326883%7CUnknown%7CTWFpbGZsb3d8eyJWIjoiMC4wLjAwMDAiLCJQIjoiV2luMzIiLCJBTiI6Ik1haWwiLCJXVCI6Mn0%3D%7C3000&amp;sdata=iN3qsWwIdR2IoRRzMDdL3TZQR%2Bz5IuucvPCLCLGQPkM%3D&amp;reserved=0" TargetMode="External"/><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flemingfund.org/grants-funding/country-grants/" TargetMode="External"/><Relationship Id="rId25" Type="http://schemas.openxmlformats.org/officeDocument/2006/relationships/hyperlink" Target="https://1doxu11lv4am2alxz12f0p5j-wpengine.netdna-ssl.com/wp-content/uploads/27e55df9c4030c39281698f214d80876.pdf" TargetMode="External"/><Relationship Id="rId33" Type="http://schemas.openxmlformats.org/officeDocument/2006/relationships/hyperlink" Target="https://eur03.safelinks.protection.outlook.com/?url=https%3A%2F%2Fwww.thelancet.com%2Fjournals%2Flancet%2Farticle%2FPIIS0140-6736(21)02724-0%2Ffulltext&amp;data=04%7C01%7CBecca.Ketteringham%40dhsc.gov.uk%7C9c5f166af4ab43d83df508d9f15238e8%7C61278c3091a84c318c1fef4de8973a1c%7C1%7C0%7C637806157704326883%7CUnknown%7CTWFpbGZsb3d8eyJWIjoiMC4wLjAwMDAiLCJQIjoiV2luMzIiLCJBTiI6Ik1haWwiLCJXVCI6Mn0%3D%7C3000&amp;sdata=0oLM9aUXodRwi51CPiY9csGPHG7%2Fj7hjmzSmnPmQcDA%3D&amp;reserved=0" TargetMode="External"/><Relationship Id="rId38" Type="http://schemas.openxmlformats.org/officeDocument/2006/relationships/hyperlink" Target="https://www.fao.org/antimicrobial-resistance/resources/tools/fao-atlass/en/"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flemingfund.org/grants-funding/global-projects/" TargetMode="External"/><Relationship Id="rId29" Type="http://schemas.openxmlformats.org/officeDocument/2006/relationships/hyperlink" Target="https://www.flemingfund.org/publications/the-fleming-fund-annual-review-january-to-december-2020/" TargetMode="External"/><Relationship Id="rId41" Type="http://schemas.openxmlformats.org/officeDocument/2006/relationships/hyperlink" Target="https://www.flemingfund.org/publications/the-fleming-fund-annual-review-january-to-december-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overnment/publications/uk-5-year-action-plan-for-antimicrobial-resistance-2019-to-2024" TargetMode="External"/><Relationship Id="rId32" Type="http://schemas.openxmlformats.org/officeDocument/2006/relationships/image" Target="media/image3.png"/><Relationship Id="rId37" Type="http://schemas.openxmlformats.org/officeDocument/2006/relationships/hyperlink" Target="https://www.who.int/publications/i/item/who-integrated-global-surveillance-on-esbl-producing-e.-coli-using-a-one-health-approach" TargetMode="External"/><Relationship Id="rId40" Type="http://schemas.openxmlformats.org/officeDocument/2006/relationships/hyperlink" Target="https://1doxu11lv4am2alxz12f0p5j-wpengine.netdna-ssl.com/wp-content/uploads/6e14e6d9795063967deef1cc75f1da5c.pdf" TargetMode="External"/><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who.int/antimicrobial-resistance/interagency-coordination-group/en/" TargetMode="External"/><Relationship Id="rId28" Type="http://schemas.openxmlformats.org/officeDocument/2006/relationships/hyperlink" Target="https://forms.office.com/pages/responsepage.aspx?id=Wmd6O8gfg0mhAMxSt2R3N-_eAULIZjVPvkGYRyNXOjNUN0xGRU1aQlk4WEJZVkgxNTVDMlRUMVBIWi4u&amp;wdLOR=c5CDF7269-D1A0-4DA1-B823-AD2B62E1C543" TargetMode="External"/><Relationship Id="rId36" Type="http://schemas.openxmlformats.org/officeDocument/2006/relationships/hyperlink" Target="https://elearning.fao.org/course/view.php?id=783" TargetMode="External"/><Relationship Id="rId10" Type="http://schemas.openxmlformats.org/officeDocument/2006/relationships/endnotes" Target="endnotes.xml"/><Relationship Id="rId19" Type="http://schemas.openxmlformats.org/officeDocument/2006/relationships/hyperlink" Target="https://www.flemingfund.org/grants-funding/fellowships/" TargetMode="External"/><Relationship Id="rId31" Type="http://schemas.openxmlformats.org/officeDocument/2006/relationships/image" Target="media/image2.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mr-review.org/" TargetMode="External"/><Relationship Id="rId27" Type="http://schemas.openxmlformats.org/officeDocument/2006/relationships/hyperlink" Target="https://www.thelancet.com/journals/lancet/article/PIIS0140-6736(21)02724-0/fulltext" TargetMode="External"/><Relationship Id="rId30" Type="http://schemas.openxmlformats.org/officeDocument/2006/relationships/header" Target="header5.xml"/><Relationship Id="rId35" Type="http://schemas.openxmlformats.org/officeDocument/2006/relationships/hyperlink" Target="https://1doxu11lv4am2alxz12f0p5j-wpengine.netdna-ssl.com/wp-content/uploads/27e55df9c4030c39281698f214d80876.pdf" TargetMode="External"/><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ECE11B2-B406-425F-8833-88B5934524D2}">
    <t:Anchor>
      <t:Comment id="324211164"/>
    </t:Anchor>
    <t:History>
      <t:Event id="{374F1A5F-5BC9-4FF2-B05A-B1E4AF8F3804}" time="2022-06-10T12:25:22.402Z">
        <t:Attribution userId="S::laura.williams@dhsc.gov.uk::91123407-b90f-4f3a-8000-3295de0587c0" userProvider="AD" userName="Williams, Laura"/>
        <t:Anchor>
          <t:Comment id="324211164"/>
        </t:Anchor>
        <t:Create/>
      </t:Event>
      <t:Event id="{892D3497-0E12-4D52-BAE3-33E383A51342}" time="2022-06-10T12:25:22.402Z">
        <t:Attribution userId="S::laura.williams@dhsc.gov.uk::91123407-b90f-4f3a-8000-3295de0587c0" userProvider="AD" userName="Williams, Laura"/>
        <t:Anchor>
          <t:Comment id="324211164"/>
        </t:Anchor>
        <t:Assign userId="S::Charlotte.Hepton@dhsc.gov.uk::8e88b756-b3da-4be0-bad2-06c212aa4508" userProvider="AD" userName="Hepton, Charlotte"/>
      </t:Event>
      <t:Event id="{6404267B-A527-4F22-A419-CDAF67DF84AD}" time="2022-06-10T12:25:22.402Z">
        <t:Attribution userId="S::laura.williams@dhsc.gov.uk::91123407-b90f-4f3a-8000-3295de0587c0" userProvider="AD" userName="Williams, Laura"/>
        <t:Anchor>
          <t:Comment id="324211164"/>
        </t:Anchor>
        <t:SetTitle title="@Hepton, Charlotte - I'd make this a little clearer that, despite positive progress with reduced variation, this remains a live issue that requires further / ongoing work"/>
      </t:Event>
    </t:History>
  </t:Task>
  <t:Task id="{0A9DEAFA-794B-4E0E-88C0-A54C1E7040C3}">
    <t:Anchor>
      <t:Comment id="711456104"/>
    </t:Anchor>
    <t:History>
      <t:Event id="{9FE5D7A0-9D3C-4AC7-97EF-D7283E531861}" time="2022-06-10T13:46:28.435Z">
        <t:Attribution userId="S::laura.williams@dhsc.gov.uk::91123407-b90f-4f3a-8000-3295de0587c0" userProvider="AD" userName="Williams, Laura"/>
        <t:Anchor>
          <t:Comment id="711456104"/>
        </t:Anchor>
        <t:Create/>
      </t:Event>
      <t:Event id="{24983F5C-C5E7-40A5-9742-AF109DB5C4F7}" time="2022-06-10T13:46:28.435Z">
        <t:Attribution userId="S::laura.williams@dhsc.gov.uk::91123407-b90f-4f3a-8000-3295de0587c0" userProvider="AD" userName="Williams, Laura"/>
        <t:Anchor>
          <t:Comment id="711456104"/>
        </t:Anchor>
        <t:Assign userId="S::Charlotte.Hepton@dhsc.gov.uk::8e88b756-b3da-4be0-bad2-06c212aa4508" userProvider="AD" userName="Hepton, Charlotte"/>
      </t:Event>
      <t:Event id="{0CA4BC70-972B-41C5-A097-EDE65BD07111}" time="2022-06-10T13:46:28.435Z">
        <t:Attribution userId="S::laura.williams@dhsc.gov.uk::91123407-b90f-4f3a-8000-3295de0587c0" userProvider="AD" userName="Williams, Laura"/>
        <t:Anchor>
          <t:Comment id="711456104"/>
        </t:Anchor>
        <t:SetTitle title="@Hepton, Charlotte - I would just add a few words to rationalise this statement to avoid confusion in the ODA community i.e. largest HMG investment in tackling AMR in LMICs"/>
      </t:Event>
    </t:History>
  </t:Task>
  <t:Task id="{9F6C4A6D-34AD-48D1-8D69-CAB69E1DFE75}">
    <t:Anchor>
      <t:Comment id="484045346"/>
    </t:Anchor>
    <t:History>
      <t:Event id="{EED28DB2-B238-4E12-922B-7920FC5BC4EE}" time="2022-06-10T12:33:30.693Z">
        <t:Attribution userId="S::laura.williams@dhsc.gov.uk::91123407-b90f-4f3a-8000-3295de0587c0" userProvider="AD" userName="Williams, Laura"/>
        <t:Anchor>
          <t:Comment id="484045346"/>
        </t:Anchor>
        <t:Create/>
      </t:Event>
      <t:Event id="{446C66F5-E49B-4512-AEC0-6E9B05F56120}" time="2022-06-10T12:33:30.693Z">
        <t:Attribution userId="S::laura.williams@dhsc.gov.uk::91123407-b90f-4f3a-8000-3295de0587c0" userProvider="AD" userName="Williams, Laura"/>
        <t:Anchor>
          <t:Comment id="484045346"/>
        </t:Anchor>
        <t:Assign userId="S::Charlotte.Hepton@dhsc.gov.uk::8e88b756-b3da-4be0-bad2-06c212aa4508" userProvider="AD" userName="Hepton, Charlotte"/>
      </t:Event>
      <t:Event id="{5E1DCC00-D028-4CEF-BB9B-BD649735AED6}" time="2022-06-10T12:33:30.693Z">
        <t:Attribution userId="S::laura.williams@dhsc.gov.uk::91123407-b90f-4f3a-8000-3295de0587c0" userProvider="AD" userName="Williams, Laura"/>
        <t:Anchor>
          <t:Comment id="484045346"/>
        </t:Anchor>
        <t:SetTitle title="@Hepton, Charlotte - not sure if this should be included in a recommendation? What would be the purpose of monitoring this? e.g. is there an issue around inflation"/>
      </t:Event>
    </t:History>
  </t:Task>
  <t:Task id="{AA9E939C-79EC-4C5C-BB33-22ECFF8680F1}">
    <t:Anchor>
      <t:Comment id="1567865594"/>
    </t:Anchor>
    <t:History>
      <t:Event id="{A36DC2A1-5009-476D-9E08-CBB19DAF9923}" time="2022-06-10T12:32:28.423Z">
        <t:Attribution userId="S::laura.williams@dhsc.gov.uk::91123407-b90f-4f3a-8000-3295de0587c0" userProvider="AD" userName="Williams, Laura"/>
        <t:Anchor>
          <t:Comment id="1567865594"/>
        </t:Anchor>
        <t:Create/>
      </t:Event>
      <t:Event id="{27EDDB68-D297-4019-9704-CBD100D27F90}" time="2022-06-10T12:32:28.423Z">
        <t:Attribution userId="S::laura.williams@dhsc.gov.uk::91123407-b90f-4f3a-8000-3295de0587c0" userProvider="AD" userName="Williams, Laura"/>
        <t:Anchor>
          <t:Comment id="1567865594"/>
        </t:Anchor>
        <t:Assign userId="S::Charlotte.Hepton@dhsc.gov.uk::8e88b756-b3da-4be0-bad2-06c212aa4508" userProvider="AD" userName="Hepton, Charlotte"/>
      </t:Event>
      <t:Event id="{F6E0FF7B-7DDC-47E4-9394-C424231F81AA}" time="2022-06-10T12:32:28.423Z">
        <t:Attribution userId="S::laura.williams@dhsc.gov.uk::91123407-b90f-4f3a-8000-3295de0587c0" userProvider="AD" userName="Williams, Laura"/>
        <t:Anchor>
          <t:Comment id="1567865594"/>
        </t:Anchor>
        <t:SetTitle title="@Hepton, Charlotte - This recommendation implies that the issues are internal but they are a mixture of internal and external. We can address the internal issues quite swiftly, but the issues with MM and downstream partner forecasting remain a …"/>
      </t:Event>
    </t:History>
  </t:Task>
  <t:Task id="{0917169D-0258-4DF0-8E26-E5EC10D9A648}">
    <t:Anchor>
      <t:Comment id="1513327934"/>
    </t:Anchor>
    <t:History>
      <t:Event id="{4EF1828A-D305-4D60-B032-D5C1FB6C070E}" time="2022-06-10T13:08:44.136Z">
        <t:Attribution userId="S::laura.williams@dhsc.gov.uk::91123407-b90f-4f3a-8000-3295de0587c0" userProvider="AD" userName="Williams, Laura"/>
        <t:Anchor>
          <t:Comment id="1513327934"/>
        </t:Anchor>
        <t:Create/>
      </t:Event>
      <t:Event id="{47232BA3-7A58-4F62-A90E-B2F49B8C5A49}" time="2022-06-10T13:08:44.136Z">
        <t:Attribution userId="S::laura.williams@dhsc.gov.uk::91123407-b90f-4f3a-8000-3295de0587c0" userProvider="AD" userName="Williams, Laura"/>
        <t:Anchor>
          <t:Comment id="1513327934"/>
        </t:Anchor>
        <t:Assign userId="S::Charlotte.Hepton@dhsc.gov.uk::8e88b756-b3da-4be0-bad2-06c212aa4508" userProvider="AD" userName="Hepton, Charlotte"/>
      </t:Event>
      <t:Event id="{5487772C-B519-4150-AC50-11EB9E2AACB2}" time="2022-06-10T13:08:44.136Z">
        <t:Attribution userId="S::laura.williams@dhsc.gov.uk::91123407-b90f-4f3a-8000-3295de0587c0" userProvider="AD" userName="Williams, Laura"/>
        <t:Anchor>
          <t:Comment id="1513327934"/>
        </t:Anchor>
        <t:SetTitle title="@Hepton, Charlotte - similar to Nadav's comment below, were there any challenges with delivery partners?"/>
      </t:Event>
    </t:History>
  </t:Task>
  <t:Task id="{A9F0B70F-0194-4CE9-9771-2CC55FD72093}">
    <t:Anchor>
      <t:Comment id="498967335"/>
    </t:Anchor>
    <t:History>
      <t:Event id="{D883479D-8926-4C04-9F89-965C5A6158DC}" time="2022-06-10T12:46:16.323Z">
        <t:Attribution userId="S::laura.williams@dhsc.gov.uk::91123407-b90f-4f3a-8000-3295de0587c0" userProvider="AD" userName="Williams, Laura"/>
        <t:Anchor>
          <t:Comment id="498967335"/>
        </t:Anchor>
        <t:Create/>
      </t:Event>
      <t:Event id="{98CBD53A-CB00-4291-8230-8988BB88F75B}" time="2022-06-10T12:46:16.323Z">
        <t:Attribution userId="S::laura.williams@dhsc.gov.uk::91123407-b90f-4f3a-8000-3295de0587c0" userProvider="AD" userName="Williams, Laura"/>
        <t:Anchor>
          <t:Comment id="498967335"/>
        </t:Anchor>
        <t:Assign userId="S::Charlotte.Hepton@dhsc.gov.uk::8e88b756-b3da-4be0-bad2-06c212aa4508" userProvider="AD" userName="Hepton, Charlotte"/>
      </t:Event>
      <t:Event id="{4EE85E20-2A92-4631-BF51-D69B01A23166}" time="2022-06-10T12:46:16.323Z">
        <t:Attribution userId="S::laura.williams@dhsc.gov.uk::91123407-b90f-4f3a-8000-3295de0587c0" userProvider="AD" userName="Williams, Laura"/>
        <t:Anchor>
          <t:Comment id="498967335"/>
        </t:Anchor>
        <t:SetTitle title="@Hepton, Charlotte - I would say something upfront about why we are supporting 21, not 24 countries which will be mentioned in the original BC and previous annual reviews, to avoid public questions / scrutiny"/>
      </t:Event>
    </t:History>
  </t:Task>
  <t:Task id="{72CBE9FA-B700-4192-B91D-9D67D6274575}">
    <t:Anchor>
      <t:Comment id="1934663977"/>
    </t:Anchor>
    <t:History>
      <t:Event id="{EA7AAF6D-3B5E-4B6D-A409-8DCD6926C408}" time="2022-06-10T12:35:24.596Z">
        <t:Attribution userId="S::laura.williams@dhsc.gov.uk::91123407-b90f-4f3a-8000-3295de0587c0" userProvider="AD" userName="Williams, Laura"/>
        <t:Anchor>
          <t:Comment id="1934663977"/>
        </t:Anchor>
        <t:Create/>
      </t:Event>
      <t:Event id="{4AB26B45-210D-41E0-B2F6-5738DF28F6AE}" time="2022-06-10T12:35:24.596Z">
        <t:Attribution userId="S::laura.williams@dhsc.gov.uk::91123407-b90f-4f3a-8000-3295de0587c0" userProvider="AD" userName="Williams, Laura"/>
        <t:Anchor>
          <t:Comment id="1934663977"/>
        </t:Anchor>
        <t:Assign userId="S::Charlotte.Hepton@dhsc.gov.uk::8e88b756-b3da-4be0-bad2-06c212aa4508" userProvider="AD" userName="Hepton, Charlotte"/>
      </t:Event>
      <t:Event id="{AD82A99A-B8F9-400D-9AEF-B78B960CA21E}" time="2022-06-10T12:35:24.596Z">
        <t:Attribution userId="S::laura.williams@dhsc.gov.uk::91123407-b90f-4f3a-8000-3295de0587c0" userProvider="AD" userName="Williams, Laura"/>
        <t:Anchor>
          <t:Comment id="1934663977"/>
        </t:Anchor>
        <t:SetTitle title="@Hepton, Charlotte - I think there should also be an assurance element to this e.g. asset checks"/>
      </t:Event>
    </t:History>
  </t:Task>
  <t:Task id="{19BD4341-43D7-4E05-ABA2-F3022AE08E30}">
    <t:Anchor>
      <t:Comment id="154028889"/>
    </t:Anchor>
    <t:History>
      <t:Event id="{717C022D-E6F2-4CC7-BA7F-4F29C3FD1428}" time="2022-06-10T13:28:30.471Z">
        <t:Attribution userId="S::laura.williams@dhsc.gov.uk::91123407-b90f-4f3a-8000-3295de0587c0" userProvider="AD" userName="Williams, Laura"/>
        <t:Anchor>
          <t:Comment id="154028889"/>
        </t:Anchor>
        <t:Create/>
      </t:Event>
      <t:Event id="{BC1E9F5B-F116-48D5-8D53-AB887C566A44}" time="2022-06-10T13:28:30.471Z">
        <t:Attribution userId="S::laura.williams@dhsc.gov.uk::91123407-b90f-4f3a-8000-3295de0587c0" userProvider="AD" userName="Williams, Laura"/>
        <t:Anchor>
          <t:Comment id="154028889"/>
        </t:Anchor>
        <t:Assign userId="S::Charlotte.Hepton@dhsc.gov.uk::8e88b756-b3da-4be0-bad2-06c212aa4508" userProvider="AD" userName="Hepton, Charlotte"/>
      </t:Event>
      <t:Event id="{AC42A1D4-C793-467E-870E-D31CEB8C2B88}" time="2022-06-10T13:28:30.471Z">
        <t:Attribution userId="S::laura.williams@dhsc.gov.uk::91123407-b90f-4f3a-8000-3295de0587c0" userProvider="AD" userName="Williams, Laura"/>
        <t:Anchor>
          <t:Comment id="154028889"/>
        </t:Anchor>
        <t:SetTitle title="@Hepton, Charlotte - Does this pose a delivery challenge that we need to address in the short-term?"/>
      </t:Event>
    </t:History>
  </t:Task>
  <t:Task id="{4C888210-47E1-4449-BF83-6F28CD4B1AA2}">
    <t:Anchor>
      <t:Comment id="1845339758"/>
    </t:Anchor>
    <t:History>
      <t:Event id="{BBF1A36B-1A36-4559-BC74-2CE19442EAA3}" time="2022-06-10T13:49:27.865Z">
        <t:Attribution userId="S::laura.williams@dhsc.gov.uk::91123407-b90f-4f3a-8000-3295de0587c0" userProvider="AD" userName="Williams, Laura"/>
        <t:Anchor>
          <t:Comment id="1845339758"/>
        </t:Anchor>
        <t:Create/>
      </t:Event>
      <t:Event id="{A9639B2B-02B1-4E35-B1AD-9599F25B4085}" time="2022-06-10T13:49:27.865Z">
        <t:Attribution userId="S::laura.williams@dhsc.gov.uk::91123407-b90f-4f3a-8000-3295de0587c0" userProvider="AD" userName="Williams, Laura"/>
        <t:Anchor>
          <t:Comment id="1845339758"/>
        </t:Anchor>
        <t:Assign userId="S::Charlotte.Hepton@dhsc.gov.uk::8e88b756-b3da-4be0-bad2-06c212aa4508" userProvider="AD" userName="Hepton, Charlotte"/>
      </t:Event>
      <t:Event id="{8CAC8A32-566B-4101-BB83-5F0719550905}" time="2022-06-10T13:49:27.865Z">
        <t:Attribution userId="S::laura.williams@dhsc.gov.uk::91123407-b90f-4f3a-8000-3295de0587c0" userProvider="AD" userName="Williams, Laura"/>
        <t:Anchor>
          <t:Comment id="1845339758"/>
        </t:Anchor>
        <t:SetTitle title="@Hepton, Charlotte - personally, I wouldn't include the tables below as its quite granular and could be commercially sensitive, but completely up to you to make a judgement call"/>
      </t:Event>
    </t:History>
  </t:Task>
  <t:Task id="{05BF6F75-41E4-46B3-A817-CE1047A2402F}">
    <t:Anchor>
      <t:Comment id="642540161"/>
    </t:Anchor>
    <t:History>
      <t:Event id="{FA425A4F-4667-49D8-8235-8D37F92C5255}" time="2022-06-10T13:52:44.81Z">
        <t:Attribution userId="S::laura.williams@dhsc.gov.uk::91123407-b90f-4f3a-8000-3295de0587c0" userProvider="AD" userName="Williams, Laura"/>
        <t:Anchor>
          <t:Comment id="694202688"/>
        </t:Anchor>
        <t:Create/>
      </t:Event>
      <t:Event id="{22A41D8D-785E-4BDD-95FA-4F45DC320D29}" time="2022-06-10T13:52:44.81Z">
        <t:Attribution userId="S::laura.williams@dhsc.gov.uk::91123407-b90f-4f3a-8000-3295de0587c0" userProvider="AD" userName="Williams, Laura"/>
        <t:Anchor>
          <t:Comment id="694202688"/>
        </t:Anchor>
        <t:Assign userId="S::Charlotte.Hepton@dhsc.gov.uk::8e88b756-b3da-4be0-bad2-06c212aa4508" userProvider="AD" userName="Hepton, Charlotte"/>
      </t:Event>
      <t:Event id="{AA4CD427-D0ED-4826-B755-E181828CD694}" time="2022-06-10T13:52:44.81Z">
        <t:Attribution userId="S::laura.williams@dhsc.gov.uk::91123407-b90f-4f3a-8000-3295de0587c0" userProvider="AD" userName="Williams, Laura"/>
        <t:Anchor>
          <t:Comment id="694202688"/>
        </t:Anchor>
        <t:SetTitle title="@Hepton, Charlotte - echo Nadav's comment as it's common to have challenges with delivery partners e.g. the point you eluded to above about partners not being able to pivot work during the C-19 response"/>
      </t:Event>
    </t:History>
  </t:Task>
  <t:Task id="{5EDF057F-2C9B-4E73-BB57-DEFE70858893}">
    <t:Anchor>
      <t:Comment id="1728003977"/>
    </t:Anchor>
    <t:History>
      <t:Event id="{C8B9519D-2946-427E-B76F-8A4D08BE204D}" time="2022-06-10T13:55:43.962Z">
        <t:Attribution userId="S::laura.williams@dhsc.gov.uk::91123407-b90f-4f3a-8000-3295de0587c0" userProvider="AD" userName="Williams, Laura"/>
        <t:Anchor>
          <t:Comment id="1728003977"/>
        </t:Anchor>
        <t:Create/>
      </t:Event>
      <t:Event id="{65E7D092-B6A7-4C27-93E6-DAD0DEB733E7}" time="2022-06-10T13:55:43.962Z">
        <t:Attribution userId="S::laura.williams@dhsc.gov.uk::91123407-b90f-4f3a-8000-3295de0587c0" userProvider="AD" userName="Williams, Laura"/>
        <t:Anchor>
          <t:Comment id="1728003977"/>
        </t:Anchor>
        <t:Assign userId="S::Charlotte.Hepton@dhsc.gov.uk::8e88b756-b3da-4be0-bad2-06c212aa4508" userProvider="AD" userName="Hepton, Charlotte"/>
      </t:Event>
      <t:Event id="{467D9913-0534-4241-BEFE-1F6004927E10}" time="2022-06-10T13:55:43.962Z">
        <t:Attribution userId="S::laura.williams@dhsc.gov.uk::91123407-b90f-4f3a-8000-3295de0587c0" userProvider="AD" userName="Williams, Laura"/>
        <t:Anchor>
          <t:Comment id="1728003977"/>
        </t:Anchor>
        <t:SetTitle title="@Hepton, Charlotte - I would include a recommendation around asset management as we will be looking to make some changes in phase II to further align with FCDOs rules. One area, for example would be about making sure an annual check takes place - let …"/>
      </t:Event>
    </t:History>
  </t:Task>
  <t:Task id="{4FBF57AE-307D-4079-AD93-C975EE0A0369}">
    <t:Anchor>
      <t:Comment id="1662220368"/>
    </t:Anchor>
    <t:History>
      <t:Event id="{42A9BF9A-E4F6-4620-94AF-714845E2D1E4}" time="2022-06-10T14:34:08.335Z">
        <t:Attribution userId="S::laura.williams@dhsc.gov.uk::91123407-b90f-4f3a-8000-3295de0587c0" userProvider="AD" userName="Williams, Laura"/>
        <t:Anchor>
          <t:Comment id="1662220368"/>
        </t:Anchor>
        <t:Create/>
      </t:Event>
      <t:Event id="{00BAB106-1300-45A4-A293-39D1EBA64169}" time="2022-06-10T14:34:08.335Z">
        <t:Attribution userId="S::laura.williams@dhsc.gov.uk::91123407-b90f-4f3a-8000-3295de0587c0" userProvider="AD" userName="Williams, Laura"/>
        <t:Anchor>
          <t:Comment id="1662220368"/>
        </t:Anchor>
        <t:Assign userId="S::Charlotte.Hepton@dhsc.gov.uk::8e88b756-b3da-4be0-bad2-06c212aa4508" userProvider="AD" userName="Hepton, Charlotte"/>
      </t:Event>
      <t:Event id="{D10940AE-DDB7-4223-B2F7-B78C07BFABF1}" time="2022-06-10T14:34:08.335Z">
        <t:Attribution userId="S::laura.williams@dhsc.gov.uk::91123407-b90f-4f3a-8000-3295de0587c0" userProvider="AD" userName="Williams, Laura"/>
        <t:Anchor>
          <t:Comment id="1662220368"/>
        </t:Anchor>
        <t:SetTitle title="@Hepton, Charlotte - my understanding is that we have longstanding concerns about MMs / downstream partners financial capabilities and this is impacting accurate forecasting. I know a lot of work has gone into addressing this over the last couple of …"/>
      </t:Event>
    </t:History>
  </t:Task>
  <t:Task id="{C389E2D8-A126-4DC7-BE29-D77E423A8BC7}">
    <t:Anchor>
      <t:Comment id="806209967"/>
    </t:Anchor>
    <t:History>
      <t:Event id="{CECA912F-A635-4D1A-A5C9-3A1CB3BAB634}" time="2022-06-20T16:02:52.15Z">
        <t:Attribution userId="S::laura.williams@dhsc.gov.uk::91123407-b90f-4f3a-8000-3295de0587c0" userProvider="AD" userName="Williams, Laura"/>
        <t:Anchor>
          <t:Comment id="806209967"/>
        </t:Anchor>
        <t:Create/>
      </t:Event>
      <t:Event id="{89568FE7-E99D-45BD-9063-44287DA2AD74}" time="2022-06-20T16:02:52.15Z">
        <t:Attribution userId="S::laura.williams@dhsc.gov.uk::91123407-b90f-4f3a-8000-3295de0587c0" userProvider="AD" userName="Williams, Laura"/>
        <t:Anchor>
          <t:Comment id="806209967"/>
        </t:Anchor>
        <t:Assign userId="S::Charlotte.Hepton@dhsc.gov.uk::8e88b756-b3da-4be0-bad2-06c212aa4508" userProvider="AD" userName="Hepton, Charlotte"/>
      </t:Event>
      <t:Event id="{A0A6C087-83D0-411E-9A76-E7CF3419401F}" time="2022-06-20T16:02:52.15Z">
        <t:Attribution userId="S::laura.williams@dhsc.gov.uk::91123407-b90f-4f3a-8000-3295de0587c0" userProvider="AD" userName="Williams, Laura"/>
        <t:Anchor>
          <t:Comment id="806209967"/>
        </t:Anchor>
        <t:SetTitle title="@Hepton, Charlotte - if you're happy with this recommendation, please could you adjust the numbering?"/>
      </t:Event>
    </t:History>
  </t:Task>
</t:Task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5D992F4F1BC4469E6B89EB86B8986A" ma:contentTypeVersion="1" ma:contentTypeDescription="Create a new document." ma:contentTypeScope="" ma:versionID="aaf137b52c0ecf2fee563bcb510000d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A0B26-36F7-4EC3-972E-5FE7B78503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B18A11-E580-4E3B-8689-E928B85AC4CA}">
  <ds:schemaRefs>
    <ds:schemaRef ds:uri="http://schemas.microsoft.com/sharepoint/v3/contenttype/forms"/>
  </ds:schemaRefs>
</ds:datastoreItem>
</file>

<file path=customXml/itemProps3.xml><?xml version="1.0" encoding="utf-8"?>
<ds:datastoreItem xmlns:ds="http://schemas.openxmlformats.org/officeDocument/2006/customXml" ds:itemID="{17AA8F2F-5945-491B-9ACD-5B96433C46D9}">
  <ds:schemaRefs>
    <ds:schemaRef ds:uri="http://schemas.openxmlformats.org/officeDocument/2006/bibliography"/>
  </ds:schemaRefs>
</ds:datastoreItem>
</file>

<file path=customXml/itemProps4.xml><?xml version="1.0" encoding="utf-8"?>
<ds:datastoreItem xmlns:ds="http://schemas.openxmlformats.org/officeDocument/2006/customXml" ds:itemID="{EBAADB2E-4815-4FDF-8E79-E9373FBD1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8855</Words>
  <Characters>50479</Characters>
  <Application>Microsoft Office Word</Application>
  <DocSecurity>0</DocSecurity>
  <Lines>420</Lines>
  <Paragraphs>118</Paragraphs>
  <ScaleCrop>false</ScaleCrop>
  <Manager>DHSC</Manager>
  <Company>DHSC</Company>
  <LinksUpToDate>false</LinksUpToDate>
  <CharactersWithSpaces>59216</CharactersWithSpaces>
  <SharedDoc>false</SharedDoc>
  <HLinks>
    <vt:vector size="156" baseType="variant">
      <vt:variant>
        <vt:i4>6029396</vt:i4>
      </vt:variant>
      <vt:variant>
        <vt:i4>66</vt:i4>
      </vt:variant>
      <vt:variant>
        <vt:i4>0</vt:i4>
      </vt:variant>
      <vt:variant>
        <vt:i4>5</vt:i4>
      </vt:variant>
      <vt:variant>
        <vt:lpwstr>https://1doxu11lv4am2alxz12f0p5j-wpengine.netdna-ssl.com/wp-content/uploads/6e14e6d9795063967deef1cc75f1da5c.pdf</vt:lpwstr>
      </vt:variant>
      <vt:variant>
        <vt:lpwstr/>
      </vt:variant>
      <vt:variant>
        <vt:i4>2162750</vt:i4>
      </vt:variant>
      <vt:variant>
        <vt:i4>63</vt:i4>
      </vt:variant>
      <vt:variant>
        <vt:i4>0</vt:i4>
      </vt:variant>
      <vt:variant>
        <vt:i4>5</vt:i4>
      </vt:variant>
      <vt:variant>
        <vt:lpwstr>https://www.fao.org/antimicrobial-resistance/resources/tools/fao-atlass/en/</vt:lpwstr>
      </vt:variant>
      <vt:variant>
        <vt:lpwstr/>
      </vt:variant>
      <vt:variant>
        <vt:i4>5111827</vt:i4>
      </vt:variant>
      <vt:variant>
        <vt:i4>60</vt:i4>
      </vt:variant>
      <vt:variant>
        <vt:i4>0</vt:i4>
      </vt:variant>
      <vt:variant>
        <vt:i4>5</vt:i4>
      </vt:variant>
      <vt:variant>
        <vt:lpwstr>https://www.who.int/publications/i/item/who-integrated-global-surveillance-on-esbl-producing-e.-coli-using-a-one-health-approach</vt:lpwstr>
      </vt:variant>
      <vt:variant>
        <vt:lpwstr/>
      </vt:variant>
      <vt:variant>
        <vt:i4>5373957</vt:i4>
      </vt:variant>
      <vt:variant>
        <vt:i4>57</vt:i4>
      </vt:variant>
      <vt:variant>
        <vt:i4>0</vt:i4>
      </vt:variant>
      <vt:variant>
        <vt:i4>5</vt:i4>
      </vt:variant>
      <vt:variant>
        <vt:lpwstr>https://elearning.fao.org/course/view.php?id=783</vt:lpwstr>
      </vt:variant>
      <vt:variant>
        <vt:lpwstr/>
      </vt:variant>
      <vt:variant>
        <vt:i4>6226002</vt:i4>
      </vt:variant>
      <vt:variant>
        <vt:i4>54</vt:i4>
      </vt:variant>
      <vt:variant>
        <vt:i4>0</vt:i4>
      </vt:variant>
      <vt:variant>
        <vt:i4>5</vt:i4>
      </vt:variant>
      <vt:variant>
        <vt:lpwstr>https://1doxu11lv4am2alxz12f0p5j-wpengine.netdna-ssl.com/wp-content/uploads/27e55df9c4030c39281698f214d80876.pdf</vt:lpwstr>
      </vt:variant>
      <vt:variant>
        <vt:lpwstr/>
      </vt:variant>
      <vt:variant>
        <vt:i4>3342388</vt:i4>
      </vt:variant>
      <vt:variant>
        <vt:i4>51</vt:i4>
      </vt:variant>
      <vt:variant>
        <vt:i4>0</vt:i4>
      </vt:variant>
      <vt:variant>
        <vt:i4>5</vt:i4>
      </vt:variant>
      <vt:variant>
        <vt:lpwstr>https://eur03.safelinks.protection.outlook.com/?url=https%3A%2F%2Fwww.thelancet.com%2Fjournals%2Flanplh%2Farticle%2FPIIS2542-5196(21)00280-1%2Ffulltext&amp;data=04%7C01%7CBecca.Ketteringham%40dhsc.gov.uk%7C9c5f166af4ab43d83df508d9f15238e8%7C61278c3091a84c318c1fef4de8973a1c%7C1%7C0%7C637806157704326883%7CUnknown%7CTWFpbGZsb3d8eyJWIjoiMC4wLjAwMDAiLCJQIjoiV2luMzIiLCJBTiI6Ik1haWwiLCJXVCI6Mn0%3D%7C3000&amp;sdata=iN3qsWwIdR2IoRRzMDdL3TZQR%2Bz5IuucvPCLCLGQPkM%3D&amp;reserved=0</vt:lpwstr>
      </vt:variant>
      <vt:variant>
        <vt:lpwstr/>
      </vt:variant>
      <vt:variant>
        <vt:i4>3473463</vt:i4>
      </vt:variant>
      <vt:variant>
        <vt:i4>48</vt:i4>
      </vt:variant>
      <vt:variant>
        <vt:i4>0</vt:i4>
      </vt:variant>
      <vt:variant>
        <vt:i4>5</vt:i4>
      </vt:variant>
      <vt:variant>
        <vt:lpwstr>https://eur03.safelinks.protection.outlook.com/?url=https%3A%2F%2Fwww.thelancet.com%2Fjournals%2Flancet%2Farticle%2FPIIS0140-6736(21)02724-0%2Ffulltext&amp;data=04%7C01%7CBecca.Ketteringham%40dhsc.gov.uk%7C9c5f166af4ab43d83df508d9f15238e8%7C61278c3091a84c318c1fef4de8973a1c%7C1%7C0%7C637806157704326883%7CUnknown%7CTWFpbGZsb3d8eyJWIjoiMC4wLjAwMDAiLCJQIjoiV2luMzIiLCJBTiI6Ik1haWwiLCJXVCI6Mn0%3D%7C3000&amp;sdata=0oLM9aUXodRwi51CPiY9csGPHG7%2Fj7hjmzSmnPmQcDA%3D&amp;reserved=0</vt:lpwstr>
      </vt:variant>
      <vt:variant>
        <vt:lpwstr/>
      </vt:variant>
      <vt:variant>
        <vt:i4>6946843</vt:i4>
      </vt:variant>
      <vt:variant>
        <vt:i4>45</vt:i4>
      </vt:variant>
      <vt:variant>
        <vt:i4>0</vt:i4>
      </vt:variant>
      <vt:variant>
        <vt:i4>5</vt:i4>
      </vt:variant>
      <vt:variant>
        <vt:lpwstr/>
      </vt:variant>
      <vt:variant>
        <vt:lpwstr>_1.2_Summary_of</vt:lpwstr>
      </vt:variant>
      <vt:variant>
        <vt:i4>6946903</vt:i4>
      </vt:variant>
      <vt:variant>
        <vt:i4>42</vt:i4>
      </vt:variant>
      <vt:variant>
        <vt:i4>0</vt:i4>
      </vt:variant>
      <vt:variant>
        <vt:i4>5</vt:i4>
      </vt:variant>
      <vt:variant>
        <vt:lpwstr/>
      </vt:variant>
      <vt:variant>
        <vt:lpwstr>_8._Monitoring_evaluation</vt:lpwstr>
      </vt:variant>
      <vt:variant>
        <vt:i4>3932177</vt:i4>
      </vt:variant>
      <vt:variant>
        <vt:i4>39</vt:i4>
      </vt:variant>
      <vt:variant>
        <vt:i4>0</vt:i4>
      </vt:variant>
      <vt:variant>
        <vt:i4>5</vt:i4>
      </vt:variant>
      <vt:variant>
        <vt:lpwstr/>
      </vt:variant>
      <vt:variant>
        <vt:lpwstr>_4._Project_performance</vt:lpwstr>
      </vt:variant>
      <vt:variant>
        <vt:i4>4849693</vt:i4>
      </vt:variant>
      <vt:variant>
        <vt:i4>36</vt:i4>
      </vt:variant>
      <vt:variant>
        <vt:i4>0</vt:i4>
      </vt:variant>
      <vt:variant>
        <vt:i4>5</vt:i4>
      </vt:variant>
      <vt:variant>
        <vt:lpwstr>https://www.flemingfund.org/publications/the-fleming-fund-annual-review-january-to-december-2020/</vt:lpwstr>
      </vt:variant>
      <vt:variant>
        <vt:lpwstr/>
      </vt:variant>
      <vt:variant>
        <vt:i4>6029354</vt:i4>
      </vt:variant>
      <vt:variant>
        <vt:i4>33</vt:i4>
      </vt:variant>
      <vt:variant>
        <vt:i4>0</vt:i4>
      </vt:variant>
      <vt:variant>
        <vt:i4>5</vt:i4>
      </vt:variant>
      <vt:variant>
        <vt:lpwstr>https://forms.office.com/pages/responsepage.aspx?id=Wmd6O8gfg0mhAMxSt2R3N-_eAULIZjVPvkGYRyNXOjNUN0xGRU1aQlk4WEJZVkgxNTVDMlRUMVBIWi4u&amp;wdLOR=c5CDF7269-D1A0-4DA1-B823-AD2B62E1C543</vt:lpwstr>
      </vt:variant>
      <vt:variant>
        <vt:lpwstr/>
      </vt:variant>
      <vt:variant>
        <vt:i4>3407914</vt:i4>
      </vt:variant>
      <vt:variant>
        <vt:i4>30</vt:i4>
      </vt:variant>
      <vt:variant>
        <vt:i4>0</vt:i4>
      </vt:variant>
      <vt:variant>
        <vt:i4>5</vt:i4>
      </vt:variant>
      <vt:variant>
        <vt:lpwstr>https://www.thelancet.com/journals/lancet/article/PIIS0140-6736(21)02724-0/fulltext</vt:lpwstr>
      </vt:variant>
      <vt:variant>
        <vt:lpwstr/>
      </vt:variant>
      <vt:variant>
        <vt:i4>5111827</vt:i4>
      </vt:variant>
      <vt:variant>
        <vt:i4>27</vt:i4>
      </vt:variant>
      <vt:variant>
        <vt:i4>0</vt:i4>
      </vt:variant>
      <vt:variant>
        <vt:i4>5</vt:i4>
      </vt:variant>
      <vt:variant>
        <vt:lpwstr>https://www.who.int/publications/i/item/who-integrated-global-surveillance-on-esbl-producing-e.-coli-using-a-one-health-approach</vt:lpwstr>
      </vt:variant>
      <vt:variant>
        <vt:lpwstr/>
      </vt:variant>
      <vt:variant>
        <vt:i4>6226002</vt:i4>
      </vt:variant>
      <vt:variant>
        <vt:i4>24</vt:i4>
      </vt:variant>
      <vt:variant>
        <vt:i4>0</vt:i4>
      </vt:variant>
      <vt:variant>
        <vt:i4>5</vt:i4>
      </vt:variant>
      <vt:variant>
        <vt:lpwstr>https://1doxu11lv4am2alxz12f0p5j-wpengine.netdna-ssl.com/wp-content/uploads/27e55df9c4030c39281698f214d80876.pdf</vt:lpwstr>
      </vt:variant>
      <vt:variant>
        <vt:lpwstr/>
      </vt:variant>
      <vt:variant>
        <vt:i4>6553661</vt:i4>
      </vt:variant>
      <vt:variant>
        <vt:i4>21</vt:i4>
      </vt:variant>
      <vt:variant>
        <vt:i4>0</vt:i4>
      </vt:variant>
      <vt:variant>
        <vt:i4>5</vt:i4>
      </vt:variant>
      <vt:variant>
        <vt:lpwstr>https://www.gov.uk/government/publications/uk-5-year-action-plan-for-antimicrobial-resistance-2019-to-2024</vt:lpwstr>
      </vt:variant>
      <vt:variant>
        <vt:lpwstr/>
      </vt:variant>
      <vt:variant>
        <vt:i4>6750245</vt:i4>
      </vt:variant>
      <vt:variant>
        <vt:i4>18</vt:i4>
      </vt:variant>
      <vt:variant>
        <vt:i4>0</vt:i4>
      </vt:variant>
      <vt:variant>
        <vt:i4>5</vt:i4>
      </vt:variant>
      <vt:variant>
        <vt:lpwstr>https://www.who.int/antimicrobial-resistance/interagency-coordination-group/en/</vt:lpwstr>
      </vt:variant>
      <vt:variant>
        <vt:lpwstr/>
      </vt:variant>
      <vt:variant>
        <vt:i4>2228334</vt:i4>
      </vt:variant>
      <vt:variant>
        <vt:i4>15</vt:i4>
      </vt:variant>
      <vt:variant>
        <vt:i4>0</vt:i4>
      </vt:variant>
      <vt:variant>
        <vt:i4>5</vt:i4>
      </vt:variant>
      <vt:variant>
        <vt:lpwstr>https://amr-review.org/</vt:lpwstr>
      </vt:variant>
      <vt:variant>
        <vt:lpwstr/>
      </vt:variant>
      <vt:variant>
        <vt:i4>1507396</vt:i4>
      </vt:variant>
      <vt:variant>
        <vt:i4>12</vt:i4>
      </vt:variant>
      <vt:variant>
        <vt:i4>0</vt:i4>
      </vt:variant>
      <vt:variant>
        <vt:i4>5</vt:i4>
      </vt:variant>
      <vt:variant>
        <vt:lpwstr>https://www.who.int/publications/i/item/9789241509763</vt:lpwstr>
      </vt:variant>
      <vt:variant>
        <vt:lpwstr/>
      </vt:variant>
      <vt:variant>
        <vt:i4>7929911</vt:i4>
      </vt:variant>
      <vt:variant>
        <vt:i4>9</vt:i4>
      </vt:variant>
      <vt:variant>
        <vt:i4>0</vt:i4>
      </vt:variant>
      <vt:variant>
        <vt:i4>5</vt:i4>
      </vt:variant>
      <vt:variant>
        <vt:lpwstr>https://www.flemingfund.org/grants-funding/global-projects/</vt:lpwstr>
      </vt:variant>
      <vt:variant>
        <vt:lpwstr/>
      </vt:variant>
      <vt:variant>
        <vt:i4>3735613</vt:i4>
      </vt:variant>
      <vt:variant>
        <vt:i4>6</vt:i4>
      </vt:variant>
      <vt:variant>
        <vt:i4>0</vt:i4>
      </vt:variant>
      <vt:variant>
        <vt:i4>5</vt:i4>
      </vt:variant>
      <vt:variant>
        <vt:lpwstr>https://www.flemingfund.org/grants-funding/fellowships/</vt:lpwstr>
      </vt:variant>
      <vt:variant>
        <vt:lpwstr/>
      </vt:variant>
      <vt:variant>
        <vt:i4>7077927</vt:i4>
      </vt:variant>
      <vt:variant>
        <vt:i4>3</vt:i4>
      </vt:variant>
      <vt:variant>
        <vt:i4>0</vt:i4>
      </vt:variant>
      <vt:variant>
        <vt:i4>5</vt:i4>
      </vt:variant>
      <vt:variant>
        <vt:lpwstr>https://www.flemingfund.org/grants-funding/regional-grants/</vt:lpwstr>
      </vt:variant>
      <vt:variant>
        <vt:lpwstr/>
      </vt:variant>
      <vt:variant>
        <vt:i4>7536746</vt:i4>
      </vt:variant>
      <vt:variant>
        <vt:i4>0</vt:i4>
      </vt:variant>
      <vt:variant>
        <vt:i4>0</vt:i4>
      </vt:variant>
      <vt:variant>
        <vt:i4>5</vt:i4>
      </vt:variant>
      <vt:variant>
        <vt:lpwstr>https://www.flemingfund.org/grants-funding/country-grants/</vt:lpwstr>
      </vt:variant>
      <vt:variant>
        <vt:lpwstr/>
      </vt:variant>
      <vt:variant>
        <vt:i4>4522035</vt:i4>
      </vt:variant>
      <vt:variant>
        <vt:i4>3</vt:i4>
      </vt:variant>
      <vt:variant>
        <vt:i4>0</vt:i4>
      </vt:variant>
      <vt:variant>
        <vt:i4>5</vt:i4>
      </vt:variant>
      <vt:variant>
        <vt:lpwstr/>
      </vt:variant>
      <vt:variant>
        <vt:lpwstr>_Annex_A:_FCDO</vt:lpwstr>
      </vt:variant>
      <vt:variant>
        <vt:i4>4522035</vt:i4>
      </vt:variant>
      <vt:variant>
        <vt:i4>0</vt:i4>
      </vt:variant>
      <vt:variant>
        <vt:i4>0</vt:i4>
      </vt:variant>
      <vt:variant>
        <vt:i4>5</vt:i4>
      </vt:variant>
      <vt:variant>
        <vt:lpwstr/>
      </vt:variant>
      <vt:variant>
        <vt:lpwstr>_Annex_A:_FCDO</vt:lpwstr>
      </vt:variant>
      <vt:variant>
        <vt:i4>5308520</vt:i4>
      </vt:variant>
      <vt:variant>
        <vt:i4>0</vt:i4>
      </vt:variant>
      <vt:variant>
        <vt:i4>0</vt:i4>
      </vt:variant>
      <vt:variant>
        <vt:i4>5</vt:i4>
      </vt:variant>
      <vt:variant>
        <vt:lpwstr>mailto:Geoffrey.Ward@dhsc.gov.uk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report]</dc:title>
  <dc:subject>[Insert short summary of report]</dc:subject>
  <dc:creator>Smith, Helen</dc:creator>
  <cp:keywords>DHSC, report, [other keywords]</cp:keywords>
  <dc:description/>
  <cp:lastModifiedBy>Malin, Alice</cp:lastModifiedBy>
  <cp:revision>3</cp:revision>
  <cp:lastPrinted>2022-05-24T11:01:00Z</cp:lastPrinted>
  <dcterms:created xsi:type="dcterms:W3CDTF">2022-07-11T05:42:00Z</dcterms:created>
  <dcterms:modified xsi:type="dcterms:W3CDTF">2022-07-11T05:43:00Z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0x010100BE5D992F4F1BC4469E6B89EB86B8986A</vt:lpwstr>
  </property>
</Properties>
</file>